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A170C1D">
      <w:pPr>
        <w:spacing w:line="360" w:lineRule="auto"/>
        <w:jc w:val="center"/>
        <w:rPr>
          <w:rFonts w:hint="eastAsia" w:ascii="方正小标宋_GBK" w:hAnsi="方正小标宋_GBK" w:eastAsia="方正小标宋_GBK" w:cs="方正小标宋_GBK"/>
          <w:color w:val="000000"/>
          <w:sz w:val="40"/>
          <w:szCs w:val="32"/>
        </w:rPr>
      </w:pPr>
      <w:bookmarkStart w:id="70" w:name="_GoBack"/>
      <w:r>
        <w:rPr>
          <w:rFonts w:hint="eastAsia" w:ascii="方正小标宋_GBK" w:hAnsi="方正小标宋_GBK" w:eastAsia="方正小标宋_GBK" w:cs="方正小标宋_GBK"/>
          <w:color w:val="000000"/>
          <w:sz w:val="40"/>
          <w:szCs w:val="32"/>
          <w:lang w:val="en-US" w:eastAsia="zh-CN"/>
        </w:rPr>
        <w:t>某信息技术企业股权收购项目</w:t>
      </w:r>
      <w:r>
        <w:rPr>
          <w:rFonts w:hint="eastAsia" w:ascii="方正小标宋_GBK" w:hAnsi="方正小标宋_GBK" w:eastAsia="方正小标宋_GBK" w:cs="方正小标宋_GBK"/>
          <w:color w:val="000000"/>
          <w:sz w:val="40"/>
          <w:szCs w:val="32"/>
        </w:rPr>
        <w:t>尽职调查事项</w:t>
      </w:r>
    </w:p>
    <w:p w14:paraId="6223C5CC">
      <w:pPr>
        <w:spacing w:line="360" w:lineRule="auto"/>
        <w:jc w:val="center"/>
        <w:rPr>
          <w:rFonts w:hint="eastAsia" w:ascii="方正小标宋_GBK" w:hAnsi="方正小标宋_GBK" w:eastAsia="方正小标宋_GBK" w:cs="方正小标宋_GBK"/>
          <w:sz w:val="40"/>
          <w:szCs w:val="32"/>
        </w:rPr>
      </w:pPr>
      <w:r>
        <w:rPr>
          <w:rFonts w:hint="eastAsia" w:ascii="方正小标宋_GBK" w:hAnsi="方正小标宋_GBK" w:eastAsia="方正小标宋_GBK" w:cs="方正小标宋_GBK"/>
          <w:sz w:val="40"/>
          <w:szCs w:val="32"/>
        </w:rPr>
        <w:t>选聘</w:t>
      </w:r>
      <w:r>
        <w:rPr>
          <w:rFonts w:hint="eastAsia" w:ascii="方正小标宋_GBK" w:hAnsi="方正小标宋_GBK" w:eastAsia="方正小标宋_GBK" w:cs="方正小标宋_GBK"/>
          <w:sz w:val="40"/>
          <w:szCs w:val="32"/>
          <w:lang w:val="en-US" w:eastAsia="zh-CN"/>
        </w:rPr>
        <w:t>评估</w:t>
      </w:r>
      <w:r>
        <w:rPr>
          <w:rFonts w:hint="eastAsia" w:ascii="方正小标宋_GBK" w:hAnsi="方正小标宋_GBK" w:eastAsia="方正小标宋_GBK" w:cs="方正小标宋_GBK"/>
          <w:sz w:val="40"/>
          <w:szCs w:val="32"/>
        </w:rPr>
        <w:t>中介机构</w:t>
      </w:r>
    </w:p>
    <w:bookmarkEnd w:id="70"/>
    <w:p w14:paraId="028184A5">
      <w:pPr>
        <w:spacing w:line="360" w:lineRule="auto"/>
        <w:jc w:val="center"/>
        <w:rPr>
          <w:rFonts w:hint="eastAsia" w:ascii="方正小标宋_GBK" w:hAnsi="方正小标宋_GBK" w:eastAsia="方正小标宋_GBK" w:cs="方正小标宋_GBK"/>
          <w:sz w:val="52"/>
          <w:szCs w:val="44"/>
        </w:rPr>
      </w:pPr>
    </w:p>
    <w:p w14:paraId="11843A68">
      <w:pPr>
        <w:spacing w:line="360" w:lineRule="auto"/>
        <w:jc w:val="center"/>
        <w:rPr>
          <w:rFonts w:ascii="仿宋" w:hAnsi="仿宋" w:eastAsia="仿宋"/>
          <w:sz w:val="72"/>
          <w:szCs w:val="72"/>
        </w:rPr>
      </w:pPr>
    </w:p>
    <w:p w14:paraId="612A944E">
      <w:pPr>
        <w:spacing w:line="360" w:lineRule="auto"/>
        <w:jc w:val="center"/>
        <w:rPr>
          <w:rFonts w:hint="eastAsia" w:ascii="仿宋" w:hAnsi="仿宋" w:eastAsia="仿宋"/>
          <w:sz w:val="72"/>
          <w:szCs w:val="72"/>
          <w:lang w:val="en-US" w:eastAsia="zh-CN"/>
        </w:rPr>
      </w:pPr>
      <w:r>
        <w:rPr>
          <w:rFonts w:hint="eastAsia" w:ascii="仿宋" w:hAnsi="仿宋" w:eastAsia="仿宋"/>
          <w:sz w:val="72"/>
          <w:szCs w:val="72"/>
          <w:lang w:val="en-US" w:eastAsia="zh-CN"/>
        </w:rPr>
        <w:t>邀</w:t>
      </w:r>
    </w:p>
    <w:p w14:paraId="2206145B">
      <w:pPr>
        <w:spacing w:line="360" w:lineRule="auto"/>
        <w:jc w:val="center"/>
        <w:rPr>
          <w:rFonts w:hint="eastAsia" w:ascii="仿宋" w:hAnsi="仿宋" w:eastAsia="仿宋"/>
          <w:sz w:val="72"/>
          <w:szCs w:val="72"/>
          <w:lang w:val="en-US" w:eastAsia="zh-CN"/>
        </w:rPr>
      </w:pPr>
      <w:r>
        <w:rPr>
          <w:rFonts w:hint="eastAsia" w:ascii="仿宋" w:hAnsi="仿宋" w:eastAsia="仿宋"/>
          <w:sz w:val="72"/>
          <w:szCs w:val="72"/>
          <w:lang w:val="en-US" w:eastAsia="zh-CN"/>
        </w:rPr>
        <w:t>标</w:t>
      </w:r>
    </w:p>
    <w:p w14:paraId="30DE7328">
      <w:pPr>
        <w:spacing w:line="360" w:lineRule="auto"/>
        <w:jc w:val="center"/>
        <w:rPr>
          <w:rFonts w:ascii="仿宋" w:hAnsi="仿宋" w:eastAsia="仿宋"/>
          <w:sz w:val="72"/>
          <w:szCs w:val="72"/>
        </w:rPr>
      </w:pPr>
      <w:r>
        <w:rPr>
          <w:rFonts w:hint="eastAsia" w:ascii="仿宋" w:hAnsi="仿宋" w:eastAsia="仿宋"/>
          <w:sz w:val="72"/>
          <w:szCs w:val="72"/>
        </w:rPr>
        <w:t>文</w:t>
      </w:r>
    </w:p>
    <w:p w14:paraId="59C813F0">
      <w:pPr>
        <w:tabs>
          <w:tab w:val="left" w:pos="3960"/>
        </w:tabs>
        <w:spacing w:line="360" w:lineRule="auto"/>
        <w:jc w:val="center"/>
        <w:rPr>
          <w:rFonts w:ascii="仿宋" w:hAnsi="仿宋" w:eastAsia="仿宋"/>
          <w:sz w:val="72"/>
          <w:szCs w:val="72"/>
        </w:rPr>
      </w:pPr>
      <w:r>
        <w:rPr>
          <w:rFonts w:hint="eastAsia" w:ascii="仿宋" w:hAnsi="仿宋" w:eastAsia="仿宋"/>
          <w:sz w:val="72"/>
          <w:szCs w:val="72"/>
        </w:rPr>
        <w:t>件</w:t>
      </w:r>
    </w:p>
    <w:p w14:paraId="3838FA8D">
      <w:pPr>
        <w:spacing w:line="360" w:lineRule="auto"/>
        <w:jc w:val="center"/>
        <w:rPr>
          <w:rFonts w:ascii="仿宋" w:hAnsi="仿宋" w:eastAsia="仿宋"/>
          <w:sz w:val="32"/>
          <w:szCs w:val="32"/>
        </w:rPr>
      </w:pPr>
    </w:p>
    <w:p w14:paraId="3A0341D8">
      <w:pPr>
        <w:spacing w:line="360" w:lineRule="auto"/>
        <w:jc w:val="center"/>
        <w:rPr>
          <w:rFonts w:ascii="仿宋" w:hAnsi="仿宋" w:eastAsia="仿宋"/>
          <w:sz w:val="32"/>
          <w:szCs w:val="32"/>
        </w:rPr>
      </w:pPr>
      <w:bookmarkStart w:id="0" w:name="PO_代理公司_1"/>
      <w:r>
        <w:rPr>
          <w:rFonts w:hint="eastAsia" w:ascii="仿宋" w:hAnsi="仿宋" w:eastAsia="仿宋"/>
          <w:sz w:val="32"/>
          <w:szCs w:val="32"/>
          <w:lang w:val="en-US" w:eastAsia="zh-CN"/>
        </w:rPr>
        <w:t>采购人：厦门科技产业化集团有限</w:t>
      </w:r>
      <w:r>
        <w:rPr>
          <w:rFonts w:hint="eastAsia" w:ascii="仿宋" w:hAnsi="仿宋" w:eastAsia="仿宋"/>
          <w:sz w:val="32"/>
          <w:szCs w:val="32"/>
        </w:rPr>
        <w:t>公司</w:t>
      </w:r>
    </w:p>
    <w:bookmarkEnd w:id="0"/>
    <w:p w14:paraId="65581E38">
      <w:pPr>
        <w:spacing w:line="360" w:lineRule="auto"/>
        <w:jc w:val="center"/>
        <w:rPr>
          <w:rFonts w:hint="eastAsia" w:ascii="仿宋" w:hAnsi="仿宋" w:eastAsia="仿宋"/>
          <w:color w:val="000000"/>
          <w:sz w:val="32"/>
          <w:szCs w:val="32"/>
        </w:rPr>
      </w:pPr>
      <w:r>
        <w:rPr>
          <w:rFonts w:ascii="仿宋" w:hAnsi="仿宋" w:eastAsia="仿宋"/>
          <w:color w:val="000000"/>
          <w:sz w:val="32"/>
          <w:szCs w:val="32"/>
        </w:rPr>
        <w:t>202</w:t>
      </w: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8</w:t>
      </w:r>
      <w:r>
        <w:rPr>
          <w:rFonts w:hint="eastAsia" w:ascii="仿宋" w:hAnsi="仿宋" w:eastAsia="仿宋"/>
          <w:color w:val="000000"/>
          <w:sz w:val="32"/>
          <w:szCs w:val="32"/>
        </w:rPr>
        <w:t>月</w:t>
      </w:r>
    </w:p>
    <w:p w14:paraId="674BE9B7">
      <w:pPr>
        <w:spacing w:line="360" w:lineRule="exact"/>
        <w:jc w:val="center"/>
        <w:outlineLvl w:val="9"/>
        <w:rPr>
          <w:rFonts w:hint="eastAsia" w:ascii="仿宋" w:hAnsi="仿宋" w:eastAsia="仿宋"/>
          <w:bCs w:val="0"/>
          <w:sz w:val="36"/>
        </w:rPr>
        <w:sectPr>
          <w:headerReference r:id="rId5" w:type="first"/>
          <w:footerReference r:id="rId8" w:type="first"/>
          <w:headerReference r:id="rId3" w:type="default"/>
          <w:footerReference r:id="rId6" w:type="default"/>
          <w:headerReference r:id="rId4" w:type="even"/>
          <w:footerReference r:id="rId7" w:type="even"/>
          <w:pgSz w:w="11907" w:h="16840"/>
          <w:pgMar w:top="1418" w:right="1514" w:bottom="1418" w:left="1985" w:header="851" w:footer="992" w:gutter="0"/>
          <w:pgNumType w:start="1"/>
          <w:cols w:space="720" w:num="1"/>
          <w:docGrid w:linePitch="312" w:charSpace="0"/>
        </w:sectPr>
      </w:pPr>
    </w:p>
    <w:p w14:paraId="4A3308C9">
      <w:pPr>
        <w:spacing w:line="360" w:lineRule="exact"/>
        <w:jc w:val="center"/>
        <w:outlineLvl w:val="9"/>
        <w:rPr>
          <w:rFonts w:hint="eastAsia" w:ascii="仿宋" w:hAnsi="仿宋" w:eastAsia="仿宋"/>
          <w:bCs w:val="0"/>
          <w:sz w:val="36"/>
        </w:rPr>
      </w:pPr>
      <w:r>
        <w:rPr>
          <w:rFonts w:hint="eastAsia" w:ascii="仿宋" w:hAnsi="仿宋" w:eastAsia="仿宋"/>
          <w:bCs w:val="0"/>
          <w:sz w:val="36"/>
        </w:rPr>
        <w:t>目    录</w:t>
      </w:r>
    </w:p>
    <w:p w14:paraId="1978780A">
      <w:pPr>
        <w:spacing w:line="360" w:lineRule="exact"/>
        <w:jc w:val="center"/>
        <w:outlineLvl w:val="9"/>
        <w:rPr>
          <w:rStyle w:val="22"/>
          <w:rFonts w:hint="eastAsia" w:ascii="仿宋_GB2312" w:hAnsi="仿宋_GB2312" w:eastAsia="仿宋_GB2312" w:cs="仿宋_GB2312"/>
          <w:kern w:val="0"/>
          <w:sz w:val="28"/>
          <w:szCs w:val="16"/>
          <w:lang w:val="en-US" w:eastAsia="zh-CN" w:bidi="ar-SA"/>
        </w:rPr>
      </w:pPr>
    </w:p>
    <w:p w14:paraId="59B01007">
      <w:pPr>
        <w:pStyle w:val="12"/>
        <w:tabs>
          <w:tab w:val="right" w:leader="dot" w:pos="8408"/>
        </w:tabs>
        <w:rPr>
          <w:rStyle w:val="22"/>
          <w:rFonts w:hint="eastAsia" w:ascii="仿宋_GB2312" w:hAnsi="仿宋_GB2312" w:eastAsia="仿宋_GB2312" w:cs="仿宋_GB2312"/>
          <w:kern w:val="0"/>
          <w:sz w:val="28"/>
          <w:szCs w:val="16"/>
          <w:lang w:val="en-US" w:eastAsia="zh-CN" w:bidi="ar-SA"/>
        </w:rPr>
      </w:pP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TOC \o "1-2" \h \u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HYPERLINK \l _Toc4767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第一章 选聘邀请</w:t>
      </w:r>
      <w:r>
        <w:rPr>
          <w:rStyle w:val="22"/>
          <w:rFonts w:hint="eastAsia" w:ascii="仿宋_GB2312" w:hAnsi="仿宋_GB2312" w:eastAsia="仿宋_GB2312" w:cs="仿宋_GB2312"/>
          <w:kern w:val="0"/>
          <w:sz w:val="28"/>
          <w:szCs w:val="16"/>
          <w:lang w:val="en-US" w:eastAsia="zh-CN" w:bidi="ar-SA"/>
        </w:rPr>
        <w:tab/>
      </w: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PAGEREF _Toc4767 \h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2</w:t>
      </w:r>
      <w:r>
        <w:rPr>
          <w:rStyle w:val="22"/>
          <w:rFonts w:hint="eastAsia" w:ascii="仿宋_GB2312" w:hAnsi="仿宋_GB2312" w:eastAsia="仿宋_GB2312" w:cs="仿宋_GB2312"/>
          <w:kern w:val="0"/>
          <w:sz w:val="28"/>
          <w:szCs w:val="16"/>
          <w:lang w:val="en-US" w:eastAsia="zh-CN" w:bidi="ar-SA"/>
        </w:rPr>
        <w:fldChar w:fldCharType="end"/>
      </w:r>
      <w:r>
        <w:rPr>
          <w:rStyle w:val="22"/>
          <w:rFonts w:hint="eastAsia" w:ascii="仿宋_GB2312" w:hAnsi="仿宋_GB2312" w:eastAsia="仿宋_GB2312" w:cs="仿宋_GB2312"/>
          <w:kern w:val="0"/>
          <w:sz w:val="28"/>
          <w:szCs w:val="16"/>
          <w:lang w:val="en-US" w:eastAsia="zh-CN" w:bidi="ar-SA"/>
        </w:rPr>
        <w:fldChar w:fldCharType="end"/>
      </w:r>
    </w:p>
    <w:p w14:paraId="23BCB4C9">
      <w:pPr>
        <w:rPr>
          <w:rStyle w:val="22"/>
          <w:rFonts w:hint="eastAsia" w:ascii="仿宋_GB2312" w:hAnsi="仿宋_GB2312" w:eastAsia="仿宋_GB2312" w:cs="仿宋_GB2312"/>
          <w:kern w:val="0"/>
          <w:sz w:val="28"/>
          <w:szCs w:val="16"/>
          <w:lang w:val="en-US" w:eastAsia="zh-CN" w:bidi="ar-SA"/>
        </w:rPr>
      </w:pPr>
    </w:p>
    <w:p w14:paraId="03B10392">
      <w:pPr>
        <w:pStyle w:val="12"/>
        <w:tabs>
          <w:tab w:val="right" w:leader="dot" w:pos="8408"/>
        </w:tabs>
        <w:rPr>
          <w:rStyle w:val="22"/>
          <w:rFonts w:hint="eastAsia" w:ascii="仿宋_GB2312" w:hAnsi="仿宋_GB2312" w:eastAsia="仿宋_GB2312" w:cs="仿宋_GB2312"/>
          <w:kern w:val="0"/>
          <w:sz w:val="28"/>
          <w:szCs w:val="16"/>
          <w:lang w:val="en-US" w:eastAsia="zh-CN" w:bidi="ar-SA"/>
        </w:rPr>
      </w:pP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HYPERLINK \l _Toc12165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第二章 投标相关文件</w:t>
      </w:r>
      <w:r>
        <w:rPr>
          <w:rStyle w:val="22"/>
          <w:rFonts w:hint="eastAsia" w:ascii="仿宋_GB2312" w:hAnsi="仿宋_GB2312" w:eastAsia="仿宋_GB2312" w:cs="仿宋_GB2312"/>
          <w:kern w:val="0"/>
          <w:sz w:val="28"/>
          <w:szCs w:val="16"/>
          <w:lang w:val="en-US" w:eastAsia="zh-CN" w:bidi="ar-SA"/>
        </w:rPr>
        <w:tab/>
      </w: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PAGEREF _Toc12165 \h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4</w:t>
      </w:r>
      <w:r>
        <w:rPr>
          <w:rStyle w:val="22"/>
          <w:rFonts w:hint="eastAsia" w:ascii="仿宋_GB2312" w:hAnsi="仿宋_GB2312" w:eastAsia="仿宋_GB2312" w:cs="仿宋_GB2312"/>
          <w:kern w:val="0"/>
          <w:sz w:val="28"/>
          <w:szCs w:val="16"/>
          <w:lang w:val="en-US" w:eastAsia="zh-CN" w:bidi="ar-SA"/>
        </w:rPr>
        <w:fldChar w:fldCharType="end"/>
      </w:r>
      <w:r>
        <w:rPr>
          <w:rStyle w:val="22"/>
          <w:rFonts w:hint="eastAsia" w:ascii="仿宋_GB2312" w:hAnsi="仿宋_GB2312" w:eastAsia="仿宋_GB2312" w:cs="仿宋_GB2312"/>
          <w:kern w:val="0"/>
          <w:sz w:val="28"/>
          <w:szCs w:val="16"/>
          <w:lang w:val="en-US" w:eastAsia="zh-CN" w:bidi="ar-SA"/>
        </w:rPr>
        <w:fldChar w:fldCharType="end"/>
      </w:r>
    </w:p>
    <w:p w14:paraId="6483D84B">
      <w:pPr>
        <w:rPr>
          <w:rStyle w:val="22"/>
          <w:rFonts w:hint="eastAsia" w:ascii="仿宋_GB2312" w:hAnsi="仿宋_GB2312" w:eastAsia="仿宋_GB2312" w:cs="仿宋_GB2312"/>
          <w:kern w:val="0"/>
          <w:sz w:val="28"/>
          <w:szCs w:val="16"/>
          <w:lang w:val="en-US" w:eastAsia="zh-CN" w:bidi="ar-SA"/>
        </w:rPr>
      </w:pPr>
    </w:p>
    <w:p w14:paraId="6315D163">
      <w:pPr>
        <w:pStyle w:val="12"/>
        <w:tabs>
          <w:tab w:val="right" w:leader="dot" w:pos="8408"/>
        </w:tabs>
        <w:rPr>
          <w:rStyle w:val="22"/>
          <w:rFonts w:hint="eastAsia" w:ascii="仿宋_GB2312" w:hAnsi="仿宋_GB2312" w:eastAsia="仿宋_GB2312" w:cs="仿宋_GB2312"/>
          <w:kern w:val="0"/>
          <w:sz w:val="28"/>
          <w:szCs w:val="16"/>
          <w:lang w:val="en-US" w:eastAsia="zh-CN" w:bidi="ar-SA"/>
        </w:rPr>
      </w:pP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HYPERLINK \l _Toc18401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第三章 资格文件</w:t>
      </w:r>
      <w:r>
        <w:rPr>
          <w:rStyle w:val="22"/>
          <w:rFonts w:hint="eastAsia" w:ascii="仿宋_GB2312" w:hAnsi="仿宋_GB2312" w:eastAsia="仿宋_GB2312" w:cs="仿宋_GB2312"/>
          <w:kern w:val="0"/>
          <w:sz w:val="28"/>
          <w:szCs w:val="16"/>
          <w:lang w:val="en-US" w:eastAsia="zh-CN" w:bidi="ar-SA"/>
        </w:rPr>
        <w:tab/>
      </w: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PAGEREF _Toc18401 \h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11</w:t>
      </w:r>
      <w:r>
        <w:rPr>
          <w:rStyle w:val="22"/>
          <w:rFonts w:hint="eastAsia" w:ascii="仿宋_GB2312" w:hAnsi="仿宋_GB2312" w:eastAsia="仿宋_GB2312" w:cs="仿宋_GB2312"/>
          <w:kern w:val="0"/>
          <w:sz w:val="28"/>
          <w:szCs w:val="16"/>
          <w:lang w:val="en-US" w:eastAsia="zh-CN" w:bidi="ar-SA"/>
        </w:rPr>
        <w:fldChar w:fldCharType="end"/>
      </w:r>
      <w:r>
        <w:rPr>
          <w:rStyle w:val="22"/>
          <w:rFonts w:hint="eastAsia" w:ascii="仿宋_GB2312" w:hAnsi="仿宋_GB2312" w:eastAsia="仿宋_GB2312" w:cs="仿宋_GB2312"/>
          <w:kern w:val="0"/>
          <w:sz w:val="28"/>
          <w:szCs w:val="16"/>
          <w:lang w:val="en-US" w:eastAsia="zh-CN" w:bidi="ar-SA"/>
        </w:rPr>
        <w:fldChar w:fldCharType="end"/>
      </w:r>
    </w:p>
    <w:p w14:paraId="699EAAFA">
      <w:pPr>
        <w:rPr>
          <w:rStyle w:val="22"/>
          <w:rFonts w:hint="eastAsia" w:ascii="仿宋_GB2312" w:hAnsi="仿宋_GB2312" w:eastAsia="仿宋_GB2312" w:cs="仿宋_GB2312"/>
          <w:kern w:val="0"/>
          <w:sz w:val="28"/>
          <w:szCs w:val="16"/>
          <w:lang w:val="en-US" w:eastAsia="zh-CN" w:bidi="ar-SA"/>
        </w:rPr>
      </w:pPr>
    </w:p>
    <w:p w14:paraId="5DCD3D5F">
      <w:pPr>
        <w:pStyle w:val="12"/>
        <w:tabs>
          <w:tab w:val="right" w:leader="dot" w:pos="8408"/>
        </w:tabs>
        <w:rPr>
          <w:rStyle w:val="22"/>
          <w:rFonts w:hint="eastAsia" w:ascii="仿宋_GB2312" w:hAnsi="仿宋_GB2312" w:eastAsia="仿宋_GB2312" w:cs="仿宋_GB2312"/>
          <w:kern w:val="0"/>
          <w:sz w:val="28"/>
          <w:szCs w:val="16"/>
          <w:lang w:val="en-US" w:eastAsia="zh-CN" w:bidi="ar-SA"/>
        </w:rPr>
      </w:pP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HYPERLINK \l _Toc9625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第四章 项目及要求</w:t>
      </w:r>
      <w:r>
        <w:rPr>
          <w:rStyle w:val="22"/>
          <w:rFonts w:hint="eastAsia" w:ascii="仿宋_GB2312" w:hAnsi="仿宋_GB2312" w:eastAsia="仿宋_GB2312" w:cs="仿宋_GB2312"/>
          <w:kern w:val="0"/>
          <w:sz w:val="28"/>
          <w:szCs w:val="16"/>
          <w:lang w:val="en-US" w:eastAsia="zh-CN" w:bidi="ar-SA"/>
        </w:rPr>
        <w:tab/>
      </w: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PAGEREF _Toc9625 \h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12</w:t>
      </w:r>
      <w:r>
        <w:rPr>
          <w:rStyle w:val="22"/>
          <w:rFonts w:hint="eastAsia" w:ascii="仿宋_GB2312" w:hAnsi="仿宋_GB2312" w:eastAsia="仿宋_GB2312" w:cs="仿宋_GB2312"/>
          <w:kern w:val="0"/>
          <w:sz w:val="28"/>
          <w:szCs w:val="16"/>
          <w:lang w:val="en-US" w:eastAsia="zh-CN" w:bidi="ar-SA"/>
        </w:rPr>
        <w:fldChar w:fldCharType="end"/>
      </w:r>
      <w:r>
        <w:rPr>
          <w:rStyle w:val="22"/>
          <w:rFonts w:hint="eastAsia" w:ascii="仿宋_GB2312" w:hAnsi="仿宋_GB2312" w:eastAsia="仿宋_GB2312" w:cs="仿宋_GB2312"/>
          <w:kern w:val="0"/>
          <w:sz w:val="28"/>
          <w:szCs w:val="16"/>
          <w:lang w:val="en-US" w:eastAsia="zh-CN" w:bidi="ar-SA"/>
        </w:rPr>
        <w:fldChar w:fldCharType="end"/>
      </w:r>
    </w:p>
    <w:p w14:paraId="5A8B2DEA">
      <w:pPr>
        <w:rPr>
          <w:rStyle w:val="22"/>
          <w:rFonts w:hint="eastAsia" w:ascii="仿宋_GB2312" w:hAnsi="仿宋_GB2312" w:eastAsia="仿宋_GB2312" w:cs="仿宋_GB2312"/>
          <w:kern w:val="0"/>
          <w:sz w:val="28"/>
          <w:szCs w:val="16"/>
          <w:lang w:val="en-US" w:eastAsia="zh-CN" w:bidi="ar-SA"/>
        </w:rPr>
      </w:pPr>
    </w:p>
    <w:p w14:paraId="1FF405D6">
      <w:pPr>
        <w:pStyle w:val="12"/>
        <w:tabs>
          <w:tab w:val="right" w:leader="dot" w:pos="8408"/>
        </w:tabs>
        <w:rPr>
          <w:rStyle w:val="22"/>
          <w:rFonts w:hint="eastAsia" w:ascii="仿宋_GB2312" w:hAnsi="仿宋_GB2312" w:eastAsia="仿宋_GB2312" w:cs="仿宋_GB2312"/>
          <w:kern w:val="0"/>
          <w:sz w:val="28"/>
          <w:szCs w:val="16"/>
          <w:lang w:val="en-US" w:eastAsia="zh-CN" w:bidi="ar-SA"/>
        </w:rPr>
      </w:pP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HYPERLINK \l _Toc31807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第五章 评标办法</w:t>
      </w:r>
      <w:r>
        <w:rPr>
          <w:rStyle w:val="22"/>
          <w:rFonts w:hint="eastAsia" w:ascii="仿宋_GB2312" w:hAnsi="仿宋_GB2312" w:eastAsia="仿宋_GB2312" w:cs="仿宋_GB2312"/>
          <w:kern w:val="0"/>
          <w:sz w:val="28"/>
          <w:szCs w:val="16"/>
          <w:lang w:val="en-US" w:eastAsia="zh-CN" w:bidi="ar-SA"/>
        </w:rPr>
        <w:tab/>
      </w: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PAGEREF _Toc31807 \h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14</w:t>
      </w:r>
      <w:r>
        <w:rPr>
          <w:rStyle w:val="22"/>
          <w:rFonts w:hint="eastAsia" w:ascii="仿宋_GB2312" w:hAnsi="仿宋_GB2312" w:eastAsia="仿宋_GB2312" w:cs="仿宋_GB2312"/>
          <w:kern w:val="0"/>
          <w:sz w:val="28"/>
          <w:szCs w:val="16"/>
          <w:lang w:val="en-US" w:eastAsia="zh-CN" w:bidi="ar-SA"/>
        </w:rPr>
        <w:fldChar w:fldCharType="end"/>
      </w:r>
      <w:r>
        <w:rPr>
          <w:rStyle w:val="22"/>
          <w:rFonts w:hint="eastAsia" w:ascii="仿宋_GB2312" w:hAnsi="仿宋_GB2312" w:eastAsia="仿宋_GB2312" w:cs="仿宋_GB2312"/>
          <w:kern w:val="0"/>
          <w:sz w:val="28"/>
          <w:szCs w:val="16"/>
          <w:lang w:val="en-US" w:eastAsia="zh-CN" w:bidi="ar-SA"/>
        </w:rPr>
        <w:fldChar w:fldCharType="end"/>
      </w:r>
    </w:p>
    <w:p w14:paraId="00351134">
      <w:pPr>
        <w:rPr>
          <w:rStyle w:val="22"/>
          <w:rFonts w:hint="eastAsia" w:ascii="仿宋_GB2312" w:hAnsi="仿宋_GB2312" w:eastAsia="仿宋_GB2312" w:cs="仿宋_GB2312"/>
          <w:kern w:val="0"/>
          <w:sz w:val="28"/>
          <w:szCs w:val="16"/>
          <w:lang w:val="en-US" w:eastAsia="zh-CN" w:bidi="ar-SA"/>
        </w:rPr>
      </w:pPr>
    </w:p>
    <w:p w14:paraId="690C722C">
      <w:pPr>
        <w:pStyle w:val="12"/>
        <w:tabs>
          <w:tab w:val="right" w:leader="dot" w:pos="8408"/>
        </w:tabs>
        <w:rPr>
          <w:rStyle w:val="22"/>
          <w:rFonts w:hint="eastAsia" w:ascii="仿宋_GB2312" w:hAnsi="仿宋_GB2312" w:eastAsia="仿宋_GB2312" w:cs="仿宋_GB2312"/>
          <w:kern w:val="0"/>
          <w:sz w:val="28"/>
          <w:szCs w:val="16"/>
          <w:lang w:val="en-US" w:eastAsia="zh-CN" w:bidi="ar-SA"/>
        </w:rPr>
      </w:pP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HYPERLINK \l _Toc15442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第六章 合同主要条款（参考）</w:t>
      </w:r>
      <w:r>
        <w:rPr>
          <w:rStyle w:val="22"/>
          <w:rFonts w:hint="eastAsia" w:ascii="仿宋_GB2312" w:hAnsi="仿宋_GB2312" w:eastAsia="仿宋_GB2312" w:cs="仿宋_GB2312"/>
          <w:kern w:val="0"/>
          <w:sz w:val="28"/>
          <w:szCs w:val="16"/>
          <w:lang w:val="en-US" w:eastAsia="zh-CN" w:bidi="ar-SA"/>
        </w:rPr>
        <w:tab/>
      </w:r>
      <w:r>
        <w:rPr>
          <w:rStyle w:val="22"/>
          <w:rFonts w:hint="eastAsia" w:ascii="仿宋_GB2312" w:hAnsi="仿宋_GB2312" w:eastAsia="仿宋_GB2312" w:cs="仿宋_GB2312"/>
          <w:kern w:val="0"/>
          <w:sz w:val="28"/>
          <w:szCs w:val="16"/>
          <w:lang w:val="en-US" w:eastAsia="zh-CN" w:bidi="ar-SA"/>
        </w:rPr>
        <w:fldChar w:fldCharType="begin"/>
      </w:r>
      <w:r>
        <w:rPr>
          <w:rStyle w:val="22"/>
          <w:rFonts w:hint="eastAsia" w:ascii="仿宋_GB2312" w:hAnsi="仿宋_GB2312" w:eastAsia="仿宋_GB2312" w:cs="仿宋_GB2312"/>
          <w:kern w:val="0"/>
          <w:sz w:val="28"/>
          <w:szCs w:val="16"/>
          <w:lang w:val="en-US" w:eastAsia="zh-CN" w:bidi="ar-SA"/>
        </w:rPr>
        <w:instrText xml:space="preserve"> PAGEREF _Toc15442 \h </w:instrText>
      </w:r>
      <w:r>
        <w:rPr>
          <w:rStyle w:val="22"/>
          <w:rFonts w:hint="eastAsia" w:ascii="仿宋_GB2312" w:hAnsi="仿宋_GB2312" w:eastAsia="仿宋_GB2312" w:cs="仿宋_GB2312"/>
          <w:kern w:val="0"/>
          <w:sz w:val="28"/>
          <w:szCs w:val="16"/>
          <w:lang w:val="en-US" w:eastAsia="zh-CN" w:bidi="ar-SA"/>
        </w:rPr>
        <w:fldChar w:fldCharType="separate"/>
      </w:r>
      <w:r>
        <w:rPr>
          <w:rStyle w:val="22"/>
          <w:rFonts w:hint="eastAsia" w:ascii="仿宋_GB2312" w:hAnsi="仿宋_GB2312" w:eastAsia="仿宋_GB2312" w:cs="仿宋_GB2312"/>
          <w:kern w:val="0"/>
          <w:sz w:val="28"/>
          <w:szCs w:val="16"/>
          <w:lang w:val="en-US" w:eastAsia="zh-CN" w:bidi="ar-SA"/>
        </w:rPr>
        <w:t>16</w:t>
      </w:r>
      <w:r>
        <w:rPr>
          <w:rStyle w:val="22"/>
          <w:rFonts w:hint="eastAsia" w:ascii="仿宋_GB2312" w:hAnsi="仿宋_GB2312" w:eastAsia="仿宋_GB2312" w:cs="仿宋_GB2312"/>
          <w:kern w:val="0"/>
          <w:sz w:val="28"/>
          <w:szCs w:val="16"/>
          <w:lang w:val="en-US" w:eastAsia="zh-CN" w:bidi="ar-SA"/>
        </w:rPr>
        <w:fldChar w:fldCharType="end"/>
      </w:r>
      <w:r>
        <w:rPr>
          <w:rStyle w:val="22"/>
          <w:rFonts w:hint="eastAsia" w:ascii="仿宋_GB2312" w:hAnsi="仿宋_GB2312" w:eastAsia="仿宋_GB2312" w:cs="仿宋_GB2312"/>
          <w:kern w:val="0"/>
          <w:sz w:val="28"/>
          <w:szCs w:val="16"/>
          <w:lang w:val="en-US" w:eastAsia="zh-CN" w:bidi="ar-SA"/>
        </w:rPr>
        <w:fldChar w:fldCharType="end"/>
      </w:r>
    </w:p>
    <w:p w14:paraId="498C034F">
      <w:pPr>
        <w:pStyle w:val="2"/>
        <w:rPr>
          <w:rFonts w:hint="eastAsia"/>
        </w:rPr>
        <w:sectPr>
          <w:footerReference r:id="rId9" w:type="default"/>
          <w:pgSz w:w="11907" w:h="16840"/>
          <w:pgMar w:top="1418" w:right="1514" w:bottom="1418" w:left="1985" w:header="851" w:footer="992" w:gutter="0"/>
          <w:pgNumType w:fmt="decimal" w:start="1"/>
          <w:cols w:space="720" w:num="1"/>
          <w:docGrid w:linePitch="312" w:charSpace="0"/>
        </w:sectPr>
      </w:pPr>
      <w:r>
        <w:rPr>
          <w:rStyle w:val="22"/>
          <w:rFonts w:hint="eastAsia" w:ascii="仿宋_GB2312" w:hAnsi="仿宋_GB2312" w:eastAsia="仿宋_GB2312" w:cs="仿宋_GB2312"/>
          <w:kern w:val="0"/>
          <w:sz w:val="28"/>
          <w:szCs w:val="16"/>
          <w:lang w:val="en-US" w:eastAsia="zh-CN" w:bidi="ar-SA"/>
        </w:rPr>
        <w:fldChar w:fldCharType="end"/>
      </w:r>
    </w:p>
    <w:p w14:paraId="4221C609">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bookmarkStart w:id="1" w:name="_Toc4767"/>
      <w:bookmarkStart w:id="2" w:name="_Toc10745"/>
      <w:bookmarkStart w:id="3" w:name="_Toc217446085"/>
      <w:r>
        <w:rPr>
          <w:rFonts w:hint="eastAsia" w:ascii="Times New Roman" w:hAnsi="Times New Roman" w:eastAsia="仿宋_GB2312" w:cs="仿宋_GB2312"/>
          <w:b/>
          <w:bCs/>
          <w:color w:val="000000"/>
          <w:sz w:val="36"/>
          <w:szCs w:val="36"/>
          <w:highlight w:val="none"/>
          <w:lang w:val="en-US" w:eastAsia="zh-CN"/>
        </w:rPr>
        <w:t>第一章 选聘邀请</w:t>
      </w:r>
      <w:bookmarkEnd w:id="1"/>
      <w:bookmarkEnd w:id="2"/>
    </w:p>
    <w:p w14:paraId="231BF70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eastAsia="zh-CN"/>
        </w:rPr>
      </w:pPr>
      <w:r>
        <w:rPr>
          <w:rFonts w:hint="eastAsia" w:ascii="Times New Roman" w:hAnsi="Times New Roman" w:eastAsia="仿宋_GB2312" w:cs="仿宋_GB2312"/>
          <w:color w:val="000000"/>
          <w:sz w:val="24"/>
          <w:szCs w:val="24"/>
          <w:highlight w:val="none"/>
          <w:lang w:val="en-US" w:eastAsia="zh-CN"/>
        </w:rPr>
        <w:t>厦门科技产业化集团有限公司</w:t>
      </w:r>
      <w:r>
        <w:rPr>
          <w:rFonts w:hint="eastAsia" w:ascii="Times New Roman" w:hAnsi="Times New Roman" w:eastAsia="仿宋_GB2312" w:cs="仿宋_GB2312"/>
          <w:color w:val="000000"/>
          <w:sz w:val="24"/>
          <w:szCs w:val="24"/>
          <w:highlight w:val="none"/>
        </w:rPr>
        <w:t>拟</w:t>
      </w:r>
      <w:r>
        <w:rPr>
          <w:rFonts w:hint="eastAsia" w:ascii="Times New Roman" w:hAnsi="Times New Roman" w:eastAsia="仿宋_GB2312" w:cs="仿宋_GB2312"/>
          <w:color w:val="000000"/>
          <w:sz w:val="24"/>
          <w:szCs w:val="24"/>
          <w:highlight w:val="none"/>
          <w:lang w:val="en-US" w:eastAsia="zh-CN"/>
        </w:rPr>
        <w:t>对收购某信息技术企业股权尽职调查事项，选聘评估中介机构</w:t>
      </w:r>
      <w:r>
        <w:rPr>
          <w:rFonts w:hint="eastAsia" w:ascii="Times New Roman" w:hAnsi="Times New Roman" w:eastAsia="仿宋_GB2312" w:cs="仿宋_GB2312"/>
          <w:color w:val="000000"/>
          <w:sz w:val="24"/>
          <w:szCs w:val="24"/>
          <w:highlight w:val="none"/>
        </w:rPr>
        <w:t>，兹邀请符合本次招标要求的中介机构参加</w:t>
      </w:r>
      <w:r>
        <w:rPr>
          <w:rFonts w:hint="eastAsia" w:ascii="Times New Roman" w:hAnsi="Times New Roman" w:eastAsia="仿宋_GB2312" w:cs="仿宋_GB2312"/>
          <w:color w:val="000000"/>
          <w:sz w:val="24"/>
          <w:szCs w:val="24"/>
          <w:highlight w:val="none"/>
          <w:lang w:eastAsia="zh-CN"/>
        </w:rPr>
        <w:t>邀标。</w:t>
      </w:r>
    </w:p>
    <w:p w14:paraId="5536254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一、邀标单位：</w:t>
      </w:r>
      <w:r>
        <w:rPr>
          <w:rFonts w:hint="eastAsia" w:ascii="Times New Roman" w:hAnsi="Times New Roman" w:eastAsia="仿宋_GB2312" w:cs="仿宋_GB2312"/>
          <w:b/>
          <w:bCs/>
          <w:color w:val="000000"/>
          <w:sz w:val="24"/>
          <w:szCs w:val="24"/>
          <w:highlight w:val="none"/>
        </w:rPr>
        <w:t>厦门科技产业化集团有限公司</w:t>
      </w:r>
    </w:p>
    <w:p w14:paraId="1A880F5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二、邀标项目：收购某信息技术企业股权尽职调查事项选聘评估中介机构公开邀标项目</w:t>
      </w:r>
    </w:p>
    <w:p w14:paraId="5C63A77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三、资金来源：已落实</w:t>
      </w:r>
    </w:p>
    <w:p w14:paraId="10F7366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四、邀标项目简介：</w:t>
      </w:r>
    </w:p>
    <w:p w14:paraId="6CC15FF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本项目选聘收购某信息技术企业股权尽职调查事项的评估中介机构。</w:t>
      </w:r>
    </w:p>
    <w:p w14:paraId="2254124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五、投标人应具备的资格条件：</w:t>
      </w:r>
    </w:p>
    <w:p w14:paraId="7B32476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1、依法设立，具有相应的执业资格；</w:t>
      </w:r>
    </w:p>
    <w:p w14:paraId="1545574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w:t>
      </w:r>
      <w:r>
        <w:rPr>
          <w:rFonts w:hint="default" w:ascii="Times New Roman" w:hAnsi="Times New Roman" w:eastAsia="仿宋_GB2312" w:cs="仿宋_GB2312"/>
          <w:color w:val="000000"/>
          <w:sz w:val="24"/>
          <w:szCs w:val="24"/>
          <w:highlight w:val="none"/>
          <w:lang w:val="en-US" w:eastAsia="zh-CN"/>
        </w:rPr>
        <w:t xml:space="preserve">合法经营、依法执业，遵守法律法规、执业道德和执业准则，有良好社会信誉； </w:t>
      </w:r>
    </w:p>
    <w:p w14:paraId="7B361C7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w:t>
      </w:r>
      <w:r>
        <w:rPr>
          <w:rFonts w:hint="default" w:ascii="Times New Roman" w:hAnsi="Times New Roman" w:eastAsia="仿宋_GB2312" w:cs="仿宋_GB2312"/>
          <w:color w:val="000000"/>
          <w:sz w:val="24"/>
          <w:szCs w:val="24"/>
          <w:highlight w:val="none"/>
          <w:lang w:val="en-US" w:eastAsia="zh-CN"/>
        </w:rPr>
        <w:t>按规定通过了有关部门的年度检验；</w:t>
      </w:r>
    </w:p>
    <w:p w14:paraId="49A7065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w:t>
      </w:r>
      <w:r>
        <w:rPr>
          <w:rFonts w:hint="default" w:ascii="Times New Roman" w:hAnsi="Times New Roman" w:eastAsia="仿宋_GB2312" w:cs="仿宋_GB2312"/>
          <w:color w:val="000000"/>
          <w:sz w:val="24"/>
          <w:szCs w:val="24"/>
          <w:highlight w:val="none"/>
          <w:lang w:val="en-US" w:eastAsia="zh-CN"/>
        </w:rPr>
        <w:t xml:space="preserve">信誉良好，最近三年没有违法违规等不良从业记录； </w:t>
      </w:r>
    </w:p>
    <w:p w14:paraId="054B740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5、</w:t>
      </w:r>
      <w:r>
        <w:rPr>
          <w:rFonts w:hint="default" w:ascii="Times New Roman" w:hAnsi="Times New Roman" w:eastAsia="仿宋_GB2312" w:cs="仿宋_GB2312"/>
          <w:color w:val="000000"/>
          <w:sz w:val="24"/>
          <w:szCs w:val="24"/>
          <w:highlight w:val="none"/>
          <w:lang w:val="en-US" w:eastAsia="zh-CN"/>
        </w:rPr>
        <w:t>不存在弄虚作假、恶意串通、营私舞弊等严重不诚信行为；不存在出具虚假或重大失实的业务报告；不存在违反中介服务合同约定给委托方造成重大损失；</w:t>
      </w:r>
    </w:p>
    <w:p w14:paraId="07F271A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6、</w:t>
      </w:r>
      <w:r>
        <w:rPr>
          <w:rFonts w:hint="default" w:ascii="Times New Roman" w:hAnsi="Times New Roman" w:eastAsia="仿宋_GB2312" w:cs="仿宋_GB2312"/>
          <w:color w:val="000000"/>
          <w:sz w:val="24"/>
          <w:szCs w:val="24"/>
          <w:highlight w:val="none"/>
          <w:lang w:val="en-US" w:eastAsia="zh-CN"/>
        </w:rPr>
        <w:t xml:space="preserve">近三年提供的中介服务未因重大持业质量等问题受到相关部门通报； </w:t>
      </w:r>
    </w:p>
    <w:p w14:paraId="2FCEDC4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7、</w:t>
      </w:r>
      <w:r>
        <w:rPr>
          <w:rFonts w:hint="default" w:ascii="Times New Roman" w:hAnsi="Times New Roman" w:eastAsia="仿宋_GB2312" w:cs="仿宋_GB2312"/>
          <w:color w:val="000000"/>
          <w:sz w:val="24"/>
          <w:szCs w:val="24"/>
          <w:highlight w:val="none"/>
          <w:lang w:val="en-US" w:eastAsia="zh-CN"/>
        </w:rPr>
        <w:t>具有股权投资专业咨询服务的丰富经验，拥有专业的投资研究团队。</w:t>
      </w:r>
    </w:p>
    <w:p w14:paraId="43875A4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8、</w:t>
      </w:r>
      <w:r>
        <w:rPr>
          <w:rFonts w:hint="default" w:ascii="Times New Roman" w:hAnsi="Times New Roman" w:eastAsia="仿宋_GB2312" w:cs="仿宋_GB2312"/>
          <w:color w:val="000000"/>
          <w:sz w:val="24"/>
          <w:szCs w:val="24"/>
          <w:highlight w:val="none"/>
          <w:lang w:val="en-US" w:eastAsia="zh-CN"/>
        </w:rPr>
        <w:t>熟悉国有资产管理相关法律法规。</w:t>
      </w:r>
    </w:p>
    <w:p w14:paraId="3F03CB7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9、</w:t>
      </w:r>
      <w:r>
        <w:rPr>
          <w:rFonts w:hint="default" w:ascii="Times New Roman" w:hAnsi="Times New Roman" w:eastAsia="仿宋_GB2312" w:cs="仿宋_GB2312"/>
          <w:color w:val="000000"/>
          <w:sz w:val="24"/>
          <w:szCs w:val="24"/>
          <w:highlight w:val="none"/>
          <w:lang w:val="en-US" w:eastAsia="zh-CN"/>
        </w:rPr>
        <w:t>不接受联合体投标。</w:t>
      </w:r>
    </w:p>
    <w:p w14:paraId="449E61F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六、资格审查：</w:t>
      </w:r>
    </w:p>
    <w:p w14:paraId="2882496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本项目投标中介机构的资格条件在招标时进行审查。中介机构应在投标文件中按邀标文件的规定和要求附上所有的资格证明文件，要求提供的复印件必须加盖单位印章，并在必要时提供原件备查。若提供的资格证明文件不全或不实，将导致其投标或中标资格被取消。</w:t>
      </w:r>
    </w:p>
    <w:p w14:paraId="440B5AE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sectPr>
          <w:headerReference r:id="rId10" w:type="default"/>
          <w:pgSz w:w="11906" w:h="16838"/>
          <w:pgMar w:top="1440" w:right="1800" w:bottom="1440" w:left="1800" w:header="851" w:footer="992" w:gutter="0"/>
          <w:pgNumType w:fmt="decimal"/>
          <w:cols w:space="425" w:num="1"/>
          <w:docGrid w:type="lines" w:linePitch="312" w:charSpace="0"/>
        </w:sectPr>
      </w:pPr>
    </w:p>
    <w:p w14:paraId="265F1C8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七、投标截止时间：</w:t>
      </w:r>
    </w:p>
    <w:p w14:paraId="4C7EF75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u w:val="none"/>
          <w:lang w:val="en-US" w:eastAsia="zh-CN"/>
        </w:rPr>
      </w:pPr>
      <w:r>
        <w:rPr>
          <w:rFonts w:hint="eastAsia" w:ascii="Times New Roman" w:hAnsi="Times New Roman" w:eastAsia="仿宋_GB2312" w:cs="仿宋_GB2312"/>
          <w:color w:val="000000"/>
          <w:sz w:val="24"/>
          <w:szCs w:val="24"/>
          <w:highlight w:val="none"/>
          <w:u w:val="none"/>
          <w:lang w:val="en-US" w:eastAsia="zh-CN"/>
        </w:rPr>
        <w:t>必须在</w:t>
      </w:r>
      <w:r>
        <w:rPr>
          <w:rFonts w:hint="eastAsia" w:ascii="Times New Roman" w:hAnsi="Times New Roman" w:eastAsia="仿宋_GB2312" w:cs="仿宋_GB2312"/>
          <w:color w:val="000000"/>
          <w:sz w:val="24"/>
          <w:szCs w:val="24"/>
          <w:highlight w:val="none"/>
          <w:u w:val="none"/>
        </w:rPr>
        <w:t>2025年</w:t>
      </w:r>
      <w:r>
        <w:rPr>
          <w:rFonts w:hint="eastAsia" w:ascii="Times New Roman" w:hAnsi="Times New Roman" w:eastAsia="仿宋_GB2312" w:cs="仿宋_GB2312"/>
          <w:color w:val="000000"/>
          <w:sz w:val="24"/>
          <w:szCs w:val="24"/>
          <w:highlight w:val="none"/>
          <w:u w:val="none"/>
          <w:lang w:val="en-US" w:eastAsia="zh-CN"/>
        </w:rPr>
        <w:t>8</w:t>
      </w:r>
      <w:r>
        <w:rPr>
          <w:rFonts w:hint="eastAsia" w:ascii="Times New Roman" w:hAnsi="Times New Roman" w:eastAsia="仿宋_GB2312" w:cs="仿宋_GB2312"/>
          <w:color w:val="000000"/>
          <w:sz w:val="24"/>
          <w:szCs w:val="24"/>
          <w:highlight w:val="none"/>
          <w:u w:val="none"/>
        </w:rPr>
        <w:t>月</w:t>
      </w:r>
      <w:r>
        <w:rPr>
          <w:rFonts w:hint="eastAsia" w:ascii="Times New Roman" w:hAnsi="Times New Roman" w:eastAsia="仿宋_GB2312" w:cs="仿宋_GB2312"/>
          <w:color w:val="000000"/>
          <w:sz w:val="24"/>
          <w:szCs w:val="24"/>
          <w:highlight w:val="none"/>
          <w:u w:val="none"/>
          <w:lang w:val="en-US" w:eastAsia="zh-CN"/>
        </w:rPr>
        <w:t>7</w:t>
      </w:r>
      <w:r>
        <w:rPr>
          <w:rFonts w:hint="eastAsia" w:ascii="Times New Roman" w:hAnsi="Times New Roman" w:eastAsia="仿宋_GB2312" w:cs="仿宋_GB2312"/>
          <w:color w:val="000000"/>
          <w:sz w:val="24"/>
          <w:szCs w:val="24"/>
          <w:highlight w:val="none"/>
          <w:u w:val="none"/>
        </w:rPr>
        <w:t>日</w:t>
      </w:r>
      <w:r>
        <w:rPr>
          <w:rFonts w:hint="eastAsia" w:ascii="Times New Roman" w:hAnsi="Times New Roman" w:eastAsia="仿宋_GB2312" w:cs="仿宋_GB2312"/>
          <w:color w:val="000000"/>
          <w:sz w:val="24"/>
          <w:szCs w:val="24"/>
          <w:highlight w:val="none"/>
          <w:u w:val="none"/>
          <w:lang w:val="en-US" w:eastAsia="zh-CN"/>
        </w:rPr>
        <w:t xml:space="preserve"> 17:30前将密封的投标文件、报价文件及相关材料送至科技集团联系地址，逾期不予受理。</w:t>
      </w:r>
    </w:p>
    <w:p w14:paraId="79ABDD1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u w:val="none"/>
          <w:lang w:val="en-US" w:eastAsia="zh-CN"/>
        </w:rPr>
      </w:pPr>
      <w:r>
        <w:rPr>
          <w:rFonts w:hint="eastAsia" w:ascii="Times New Roman" w:hAnsi="Times New Roman" w:eastAsia="仿宋_GB2312" w:cs="仿宋_GB2312"/>
          <w:b/>
          <w:bCs/>
          <w:color w:val="000000"/>
          <w:sz w:val="24"/>
          <w:szCs w:val="24"/>
          <w:highlight w:val="none"/>
          <w:u w:val="none"/>
          <w:lang w:val="en-US" w:eastAsia="zh-CN"/>
        </w:rPr>
        <w:t>八、评标时间及地点：</w:t>
      </w:r>
    </w:p>
    <w:p w14:paraId="33AD185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u w:val="none"/>
        </w:rPr>
        <w:t>2025年</w:t>
      </w:r>
      <w:r>
        <w:rPr>
          <w:rFonts w:hint="eastAsia" w:ascii="Times New Roman" w:hAnsi="Times New Roman" w:eastAsia="仿宋_GB2312" w:cs="仿宋_GB2312"/>
          <w:color w:val="000000"/>
          <w:sz w:val="24"/>
          <w:szCs w:val="24"/>
          <w:highlight w:val="none"/>
          <w:u w:val="none"/>
          <w:lang w:val="en-US" w:eastAsia="zh-CN"/>
        </w:rPr>
        <w:t>8</w:t>
      </w:r>
      <w:r>
        <w:rPr>
          <w:rFonts w:hint="eastAsia" w:ascii="Times New Roman" w:hAnsi="Times New Roman" w:eastAsia="仿宋_GB2312" w:cs="仿宋_GB2312"/>
          <w:color w:val="000000"/>
          <w:sz w:val="24"/>
          <w:szCs w:val="24"/>
          <w:highlight w:val="none"/>
          <w:u w:val="none"/>
        </w:rPr>
        <w:t>月</w:t>
      </w:r>
      <w:r>
        <w:rPr>
          <w:rFonts w:hint="eastAsia" w:ascii="Times New Roman" w:hAnsi="Times New Roman" w:eastAsia="仿宋_GB2312" w:cs="仿宋_GB2312"/>
          <w:color w:val="000000"/>
          <w:sz w:val="24"/>
          <w:szCs w:val="24"/>
          <w:highlight w:val="none"/>
          <w:u w:val="none"/>
          <w:lang w:val="en-US" w:eastAsia="zh-CN"/>
        </w:rPr>
        <w:t>8</w:t>
      </w:r>
      <w:r>
        <w:rPr>
          <w:rFonts w:hint="eastAsia" w:ascii="Times New Roman" w:hAnsi="Times New Roman" w:eastAsia="仿宋_GB2312" w:cs="仿宋_GB2312"/>
          <w:color w:val="000000"/>
          <w:sz w:val="24"/>
          <w:szCs w:val="24"/>
          <w:highlight w:val="none"/>
          <w:u w:val="none"/>
        </w:rPr>
        <w:t>日</w:t>
      </w:r>
      <w:r>
        <w:rPr>
          <w:rFonts w:hint="eastAsia" w:ascii="Times New Roman" w:hAnsi="Times New Roman" w:eastAsia="仿宋_GB2312" w:cs="仿宋_GB2312"/>
          <w:color w:val="000000"/>
          <w:sz w:val="24"/>
          <w:szCs w:val="24"/>
          <w:highlight w:val="none"/>
          <w:u w:val="none"/>
          <w:lang w:val="en-US" w:eastAsia="zh-CN"/>
        </w:rPr>
        <w:t xml:space="preserve"> 10:00</w:t>
      </w:r>
      <w:r>
        <w:rPr>
          <w:rFonts w:hint="eastAsia" w:ascii="Times New Roman" w:hAnsi="Times New Roman" w:eastAsia="仿宋_GB2312" w:cs="仿宋_GB2312"/>
          <w:color w:val="000000"/>
          <w:sz w:val="24"/>
          <w:szCs w:val="24"/>
          <w:highlight w:val="none"/>
          <w:u w:val="none"/>
        </w:rPr>
        <w:t>，</w:t>
      </w:r>
      <w:r>
        <w:rPr>
          <w:rFonts w:hint="eastAsia" w:ascii="Times New Roman" w:hAnsi="Times New Roman" w:eastAsia="仿宋_GB2312" w:cs="仿宋_GB2312"/>
          <w:color w:val="000000"/>
          <w:sz w:val="24"/>
          <w:szCs w:val="24"/>
          <w:highlight w:val="none"/>
        </w:rPr>
        <w:t>在</w:t>
      </w:r>
      <w:r>
        <w:rPr>
          <w:rFonts w:hint="eastAsia" w:ascii="Times New Roman" w:hAnsi="Times New Roman" w:eastAsia="仿宋_GB2312" w:cs="仿宋_GB2312"/>
          <w:color w:val="000000"/>
          <w:sz w:val="24"/>
          <w:szCs w:val="24"/>
          <w:highlight w:val="none"/>
          <w:lang w:val="en-US" w:eastAsia="zh-CN"/>
        </w:rPr>
        <w:t>厦门科技产业化集团有限公司12楼会议室（中国（福建）自由贸易试验区厦门片区港中路1694号万翔国际商务中心2号楼南楼12楼）现场开标。</w:t>
      </w:r>
    </w:p>
    <w:p w14:paraId="69C487C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b/>
          <w:bCs/>
          <w:color w:val="000000"/>
          <w:sz w:val="24"/>
          <w:szCs w:val="24"/>
          <w:highlight w:val="none"/>
          <w:u w:val="none"/>
          <w:lang w:val="en-US" w:eastAsia="zh-CN"/>
        </w:rPr>
      </w:pPr>
      <w:r>
        <w:rPr>
          <w:rFonts w:hint="eastAsia" w:ascii="Times New Roman" w:hAnsi="Times New Roman" w:eastAsia="仿宋_GB2312" w:cs="仿宋_GB2312"/>
          <w:b/>
          <w:bCs/>
          <w:color w:val="000000"/>
          <w:sz w:val="24"/>
          <w:szCs w:val="24"/>
          <w:highlight w:val="none"/>
          <w:u w:val="none"/>
          <w:lang w:val="en-US" w:eastAsia="zh-CN"/>
        </w:rPr>
        <w:t>九、</w:t>
      </w:r>
      <w:r>
        <w:rPr>
          <w:rFonts w:hint="default" w:ascii="Times New Roman" w:hAnsi="Times New Roman" w:eastAsia="仿宋_GB2312" w:cs="仿宋_GB2312"/>
          <w:b/>
          <w:bCs/>
          <w:color w:val="000000"/>
          <w:sz w:val="24"/>
          <w:szCs w:val="24"/>
          <w:highlight w:val="none"/>
          <w:u w:val="none"/>
          <w:lang w:val="en-US" w:eastAsia="zh-CN"/>
        </w:rPr>
        <w:t>最高限价：</w:t>
      </w:r>
    </w:p>
    <w:p w14:paraId="471DFDA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default" w:ascii="Times New Roman" w:hAnsi="Times New Roman" w:eastAsia="仿宋_GB2312" w:cs="仿宋_GB2312"/>
          <w:color w:val="000000"/>
          <w:sz w:val="24"/>
          <w:szCs w:val="24"/>
          <w:highlight w:val="none"/>
          <w:lang w:val="en-US" w:eastAsia="zh-CN"/>
        </w:rPr>
        <w:t>本项目报价为</w:t>
      </w:r>
      <w:r>
        <w:rPr>
          <w:rFonts w:hint="eastAsia" w:ascii="Times New Roman" w:hAnsi="Times New Roman" w:eastAsia="仿宋_GB2312" w:cs="仿宋_GB2312"/>
          <w:color w:val="000000"/>
          <w:sz w:val="24"/>
          <w:szCs w:val="24"/>
          <w:highlight w:val="none"/>
          <w:lang w:val="en-US" w:eastAsia="zh-CN"/>
        </w:rPr>
        <w:t>含税全包价（增值税专用发票）</w:t>
      </w:r>
      <w:r>
        <w:rPr>
          <w:rFonts w:hint="default" w:ascii="Times New Roman" w:hAnsi="Times New Roman" w:eastAsia="仿宋_GB2312" w:cs="仿宋_GB2312"/>
          <w:color w:val="000000"/>
          <w:sz w:val="24"/>
          <w:szCs w:val="24"/>
          <w:highlight w:val="none"/>
          <w:lang w:val="en-US" w:eastAsia="zh-CN"/>
        </w:rPr>
        <w:t>，</w:t>
      </w:r>
      <w:r>
        <w:rPr>
          <w:rFonts w:hint="eastAsia" w:ascii="Times New Roman" w:hAnsi="Times New Roman" w:eastAsia="仿宋_GB2312" w:cs="仿宋_GB2312"/>
          <w:color w:val="000000"/>
          <w:sz w:val="24"/>
          <w:szCs w:val="24"/>
          <w:highlight w:val="none"/>
          <w:lang w:val="en-US" w:eastAsia="zh-CN"/>
        </w:rPr>
        <w:t>包含服务实施过程中所有人工、差旅、材料等费用</w:t>
      </w:r>
      <w:r>
        <w:rPr>
          <w:rFonts w:hint="default" w:ascii="Times New Roman" w:hAnsi="Times New Roman" w:eastAsia="仿宋_GB2312" w:cs="仿宋_GB2312"/>
          <w:color w:val="000000"/>
          <w:sz w:val="24"/>
          <w:szCs w:val="24"/>
          <w:highlight w:val="none"/>
          <w:lang w:val="en-US" w:eastAsia="zh-CN"/>
        </w:rPr>
        <w:t>，</w:t>
      </w:r>
      <w:r>
        <w:rPr>
          <w:rFonts w:hint="eastAsia" w:ascii="Times New Roman" w:hAnsi="Times New Roman" w:eastAsia="仿宋_GB2312" w:cs="仿宋_GB2312"/>
          <w:color w:val="000000"/>
          <w:sz w:val="24"/>
          <w:szCs w:val="24"/>
          <w:highlight w:val="none"/>
          <w:lang w:val="en-US" w:eastAsia="zh-CN"/>
        </w:rPr>
        <w:t>项目</w:t>
      </w:r>
      <w:r>
        <w:rPr>
          <w:rFonts w:hint="default" w:ascii="Times New Roman" w:hAnsi="Times New Roman" w:eastAsia="仿宋_GB2312" w:cs="仿宋_GB2312"/>
          <w:color w:val="000000"/>
          <w:sz w:val="24"/>
          <w:szCs w:val="24"/>
          <w:highlight w:val="none"/>
          <w:lang w:val="en-US" w:eastAsia="zh-CN"/>
        </w:rPr>
        <w:t>报价不得超过人民币</w:t>
      </w:r>
      <w:r>
        <w:rPr>
          <w:rFonts w:hint="eastAsia" w:ascii="Times New Roman" w:hAnsi="Times New Roman" w:eastAsia="仿宋_GB2312" w:cs="仿宋_GB2312"/>
          <w:color w:val="000000"/>
          <w:sz w:val="24"/>
          <w:szCs w:val="24"/>
          <w:highlight w:val="none"/>
          <w:lang w:val="en-US" w:eastAsia="zh-CN"/>
        </w:rPr>
        <w:t>8</w:t>
      </w:r>
      <w:r>
        <w:rPr>
          <w:rFonts w:hint="default" w:ascii="Times New Roman" w:hAnsi="Times New Roman" w:eastAsia="仿宋_GB2312" w:cs="仿宋_GB2312"/>
          <w:color w:val="000000"/>
          <w:sz w:val="24"/>
          <w:szCs w:val="24"/>
          <w:highlight w:val="none"/>
          <w:lang w:val="en-US" w:eastAsia="zh-CN"/>
        </w:rPr>
        <w:t>万元整。</w:t>
      </w:r>
    </w:p>
    <w:p w14:paraId="55F3EA9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十、联系方式</w:t>
      </w:r>
    </w:p>
    <w:p w14:paraId="2EBB3E8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采购人：厦门科技产业化集团有限公司</w:t>
      </w:r>
    </w:p>
    <w:p w14:paraId="6E2348D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eastAsia="zh-CN"/>
        </w:rPr>
      </w:pPr>
      <w:r>
        <w:rPr>
          <w:rFonts w:hint="eastAsia" w:ascii="Times New Roman" w:hAnsi="Times New Roman" w:eastAsia="仿宋_GB2312" w:cs="仿宋_GB2312"/>
          <w:color w:val="000000"/>
          <w:sz w:val="24"/>
          <w:szCs w:val="24"/>
          <w:highlight w:val="none"/>
        </w:rPr>
        <w:t>联系人：</w:t>
      </w:r>
      <w:r>
        <w:rPr>
          <w:rFonts w:hint="eastAsia" w:ascii="Times New Roman" w:hAnsi="Times New Roman" w:eastAsia="仿宋_GB2312" w:cs="仿宋_GB2312"/>
          <w:color w:val="000000"/>
          <w:sz w:val="24"/>
          <w:szCs w:val="24"/>
          <w:highlight w:val="none"/>
          <w:lang w:val="en-US" w:eastAsia="zh-CN"/>
        </w:rPr>
        <w:t>陈先生</w:t>
      </w:r>
    </w:p>
    <w:p w14:paraId="121E187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rPr>
        <w:t>联系电话：</w:t>
      </w:r>
      <w:r>
        <w:rPr>
          <w:rFonts w:hint="eastAsia" w:ascii="Times New Roman" w:hAnsi="Times New Roman" w:eastAsia="仿宋_GB2312" w:cs="仿宋_GB2312"/>
          <w:color w:val="000000"/>
          <w:sz w:val="24"/>
          <w:szCs w:val="24"/>
          <w:highlight w:val="none"/>
          <w:lang w:val="en-US" w:eastAsia="zh-CN"/>
        </w:rPr>
        <w:t>0592-2529601</w:t>
      </w:r>
    </w:p>
    <w:p w14:paraId="2B54FAE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邮箱：chenjy@xmkjjt.com</w:t>
      </w:r>
    </w:p>
    <w:p w14:paraId="32C2A2A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联系地址：福建省厦门市自贸区万翔国际商务中心2号楼南楼12楼</w:t>
      </w:r>
    </w:p>
    <w:p w14:paraId="44E54243">
      <w:pPr>
        <w:keepNext w:val="0"/>
        <w:keepLines w:val="0"/>
        <w:pageBreakBefore w:val="0"/>
        <w:widowControl w:val="0"/>
        <w:kinsoku/>
        <w:wordWrap/>
        <w:overflowPunct/>
        <w:topLinePunct w:val="0"/>
        <w:autoSpaceDE/>
        <w:autoSpaceDN/>
        <w:bidi w:val="0"/>
        <w:adjustRightInd/>
        <w:snapToGrid/>
        <w:spacing w:line="400" w:lineRule="exact"/>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br w:type="page"/>
      </w:r>
    </w:p>
    <w:p w14:paraId="17D2F8C5">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color w:val="000000"/>
          <w:sz w:val="32"/>
          <w:szCs w:val="32"/>
          <w:highlight w:val="none"/>
          <w:lang w:val="en-US" w:eastAsia="zh-CN"/>
        </w:rPr>
      </w:pPr>
      <w:bookmarkStart w:id="4" w:name="_Toc2602"/>
      <w:bookmarkStart w:id="5" w:name="_Toc12165"/>
      <w:r>
        <w:rPr>
          <w:rFonts w:hint="eastAsia" w:ascii="Times New Roman" w:hAnsi="Times New Roman" w:eastAsia="仿宋_GB2312" w:cs="仿宋_GB2312"/>
          <w:b/>
          <w:bCs/>
          <w:color w:val="000000"/>
          <w:sz w:val="36"/>
          <w:szCs w:val="36"/>
          <w:highlight w:val="none"/>
          <w:lang w:val="en-US" w:eastAsia="zh-CN"/>
        </w:rPr>
        <w:t>第二章 投标相关文件</w:t>
      </w:r>
      <w:bookmarkEnd w:id="4"/>
      <w:bookmarkEnd w:id="5"/>
    </w:p>
    <w:p w14:paraId="2AC4122B">
      <w:pPr>
        <w:keepNext w:val="0"/>
        <w:keepLines w:val="0"/>
        <w:pageBreakBefore w:val="0"/>
        <w:widowControl w:val="0"/>
        <w:kinsoku/>
        <w:wordWrap/>
        <w:overflowPunct/>
        <w:topLinePunct w:val="0"/>
        <w:autoSpaceDE/>
        <w:autoSpaceDN/>
        <w:bidi w:val="0"/>
        <w:adjustRightInd/>
        <w:snapToGrid/>
        <w:spacing w:before="260" w:after="260" w:line="360" w:lineRule="auto"/>
        <w:ind w:firstLine="641"/>
        <w:jc w:val="center"/>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32"/>
          <w:szCs w:val="32"/>
          <w:highlight w:val="none"/>
          <w:lang w:val="en-US" w:eastAsia="zh-CN"/>
        </w:rPr>
        <w:t>一、投标函</w:t>
      </w:r>
    </w:p>
    <w:p w14:paraId="5990FB8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厦门科技产业化集团有限公司（采购人）：</w:t>
      </w:r>
    </w:p>
    <w:p w14:paraId="48CFD8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我方收到</w:t>
      </w:r>
      <w:r>
        <w:rPr>
          <w:rFonts w:hint="eastAsia" w:ascii="Times New Roman" w:hAnsi="Times New Roman" w:eastAsia="仿宋_GB2312" w:cs="仿宋_GB2312"/>
          <w:color w:val="000000"/>
          <w:sz w:val="24"/>
          <w:szCs w:val="24"/>
          <w:highlight w:val="none"/>
        </w:rPr>
        <w:t>贵单位</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u w:val="none"/>
          <w:lang w:val="en-US" w:eastAsia="zh-CN"/>
        </w:rPr>
        <w:t>（项目名称）</w:t>
      </w:r>
      <w:r>
        <w:rPr>
          <w:rFonts w:hint="eastAsia" w:ascii="Times New Roman" w:hAnsi="Times New Roman" w:eastAsia="仿宋_GB2312" w:cs="仿宋_GB2312"/>
          <w:color w:val="000000"/>
          <w:sz w:val="24"/>
          <w:szCs w:val="24"/>
          <w:highlight w:val="none"/>
          <w:lang w:val="en-US" w:eastAsia="zh-CN"/>
        </w:rPr>
        <w:t>的邀请通知，</w:t>
      </w:r>
      <w:r>
        <w:rPr>
          <w:rFonts w:hint="eastAsia" w:ascii="Times New Roman" w:hAnsi="Times New Roman" w:eastAsia="仿宋_GB2312" w:cs="仿宋_GB2312"/>
          <w:color w:val="000000"/>
          <w:sz w:val="24"/>
          <w:szCs w:val="24"/>
          <w:highlight w:val="none"/>
        </w:rPr>
        <w:t>决定参加本</w:t>
      </w:r>
      <w:r>
        <w:rPr>
          <w:rFonts w:hint="eastAsia" w:ascii="Times New Roman" w:hAnsi="Times New Roman" w:eastAsia="仿宋_GB2312" w:cs="仿宋_GB2312"/>
          <w:color w:val="000000"/>
          <w:sz w:val="24"/>
          <w:szCs w:val="24"/>
          <w:highlight w:val="none"/>
          <w:lang w:val="en-US" w:eastAsia="zh-CN"/>
        </w:rPr>
        <w:t>次评估中介机构选聘</w:t>
      </w:r>
      <w:r>
        <w:rPr>
          <w:rFonts w:hint="eastAsia" w:ascii="Times New Roman" w:hAnsi="Times New Roman" w:eastAsia="仿宋_GB2312" w:cs="仿宋_GB2312"/>
          <w:color w:val="000000"/>
          <w:sz w:val="24"/>
          <w:szCs w:val="24"/>
          <w:highlight w:val="none"/>
          <w:lang w:eastAsia="zh-CN"/>
        </w:rPr>
        <w:t>，</w:t>
      </w:r>
      <w:r>
        <w:rPr>
          <w:rFonts w:hint="eastAsia" w:ascii="Times New Roman" w:hAnsi="Times New Roman" w:eastAsia="仿宋_GB2312" w:cs="仿宋_GB2312"/>
          <w:color w:val="000000"/>
          <w:sz w:val="24"/>
          <w:szCs w:val="24"/>
          <w:highlight w:val="none"/>
          <w:lang w:val="en-US" w:eastAsia="zh-CN"/>
        </w:rPr>
        <w:t>我方授权</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lang w:val="en-US" w:eastAsia="zh-CN"/>
        </w:rPr>
        <w:t>姓名、职务）代表我方</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lang w:val="en-US" w:eastAsia="zh-CN"/>
        </w:rPr>
        <w:t>（投标人名称）提交下述文件正本一份：</w:t>
      </w:r>
    </w:p>
    <w:p w14:paraId="2375ED7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1.报价一览表</w:t>
      </w:r>
    </w:p>
    <w:p w14:paraId="44A1B16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2.资格证明文件</w:t>
      </w:r>
    </w:p>
    <w:p w14:paraId="0AE2C2A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3.项目团队情况</w:t>
      </w:r>
    </w:p>
    <w:p w14:paraId="2FB0E0E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4.其他文件：包括但不限于评估工作方案、过往案例、评估机构内审机制、投标人承诺函等</w:t>
      </w:r>
    </w:p>
    <w:p w14:paraId="76CC83C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06739BB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据此函，我方宣布同意如下：</w:t>
      </w:r>
    </w:p>
    <w:p w14:paraId="1EE2C37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1、我方自愿按照</w:t>
      </w:r>
      <w:r>
        <w:rPr>
          <w:rFonts w:hint="eastAsia" w:ascii="Times New Roman" w:hAnsi="Times New Roman" w:eastAsia="仿宋_GB2312" w:cs="仿宋_GB2312"/>
          <w:color w:val="000000"/>
          <w:sz w:val="24"/>
          <w:szCs w:val="24"/>
          <w:highlight w:val="none"/>
          <w:lang w:val="en-US" w:eastAsia="zh-CN"/>
        </w:rPr>
        <w:t>邀请函</w:t>
      </w:r>
      <w:r>
        <w:rPr>
          <w:rFonts w:hint="eastAsia" w:ascii="Times New Roman" w:hAnsi="Times New Roman" w:eastAsia="仿宋_GB2312" w:cs="仿宋_GB2312"/>
          <w:color w:val="000000"/>
          <w:sz w:val="24"/>
          <w:szCs w:val="24"/>
          <w:highlight w:val="none"/>
        </w:rPr>
        <w:t>规定的各项要求向</w:t>
      </w:r>
      <w:r>
        <w:rPr>
          <w:rFonts w:hint="eastAsia" w:ascii="Times New Roman" w:hAnsi="Times New Roman" w:eastAsia="仿宋_GB2312" w:cs="仿宋_GB2312"/>
          <w:color w:val="000000"/>
          <w:sz w:val="24"/>
          <w:szCs w:val="24"/>
          <w:highlight w:val="none"/>
          <w:lang w:val="en-US" w:eastAsia="zh-CN"/>
        </w:rPr>
        <w:t>采购</w:t>
      </w:r>
      <w:r>
        <w:rPr>
          <w:rFonts w:hint="eastAsia" w:ascii="Times New Roman" w:hAnsi="Times New Roman" w:eastAsia="仿宋_GB2312" w:cs="仿宋_GB2312"/>
          <w:color w:val="000000"/>
          <w:sz w:val="24"/>
          <w:szCs w:val="24"/>
          <w:highlight w:val="none"/>
        </w:rPr>
        <w:t>人提供所需服务，所附报价一览表中规定的应提交和交付的服务报价</w:t>
      </w:r>
      <w:r>
        <w:rPr>
          <w:rFonts w:hint="eastAsia" w:ascii="Times New Roman" w:hAnsi="Times New Roman" w:eastAsia="仿宋_GB2312" w:cs="仿宋_GB2312"/>
          <w:color w:val="000000"/>
          <w:sz w:val="24"/>
          <w:szCs w:val="24"/>
          <w:highlight w:val="none"/>
          <w:lang w:eastAsia="zh-CN"/>
        </w:rPr>
        <w:t>（</w:t>
      </w:r>
      <w:r>
        <w:rPr>
          <w:rFonts w:hint="eastAsia" w:ascii="Times New Roman" w:hAnsi="Times New Roman" w:eastAsia="仿宋_GB2312" w:cs="仿宋_GB2312"/>
          <w:color w:val="000000"/>
          <w:sz w:val="24"/>
          <w:szCs w:val="24"/>
          <w:highlight w:val="none"/>
          <w:lang w:val="en-US" w:eastAsia="zh-CN"/>
        </w:rPr>
        <w:t>含增值税</w:t>
      </w:r>
      <w:r>
        <w:rPr>
          <w:rFonts w:hint="eastAsia" w:ascii="Times New Roman" w:hAnsi="Times New Roman" w:eastAsia="仿宋_GB2312" w:cs="仿宋_GB2312"/>
          <w:color w:val="000000"/>
          <w:sz w:val="24"/>
          <w:szCs w:val="24"/>
          <w:highlight w:val="none"/>
          <w:lang w:eastAsia="zh-CN"/>
        </w:rPr>
        <w:t>）</w:t>
      </w:r>
      <w:r>
        <w:rPr>
          <w:rFonts w:hint="eastAsia" w:ascii="Times New Roman" w:hAnsi="Times New Roman" w:eastAsia="仿宋_GB2312" w:cs="仿宋_GB2312"/>
          <w:color w:val="000000"/>
          <w:sz w:val="24"/>
          <w:szCs w:val="24"/>
          <w:highlight w:val="none"/>
        </w:rPr>
        <w:t>为人民币</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u w:val="single"/>
          <w:lang w:val="en-US" w:eastAsia="zh-CN"/>
        </w:rPr>
        <w:t xml:space="preserve">  </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万元（大写：</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w:t>
      </w:r>
    </w:p>
    <w:p w14:paraId="3CC9E73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2、一旦我方中标，我方将严格履行合同规定的责任和义务，保证于合同签字生效</w:t>
      </w:r>
      <w:r>
        <w:rPr>
          <w:rFonts w:hint="eastAsia" w:ascii="Times New Roman" w:hAnsi="Times New Roman" w:eastAsia="仿宋_GB2312" w:cs="仿宋_GB2312"/>
          <w:color w:val="000000"/>
          <w:sz w:val="24"/>
          <w:szCs w:val="24"/>
          <w:highlight w:val="none"/>
          <w:lang w:eastAsia="zh-CN"/>
        </w:rPr>
        <w:t>后</w:t>
      </w:r>
      <w:r>
        <w:rPr>
          <w:rFonts w:hint="eastAsia" w:ascii="Times New Roman" w:hAnsi="Times New Roman" w:eastAsia="仿宋_GB2312" w:cs="仿宋_GB2312"/>
          <w:color w:val="000000"/>
          <w:sz w:val="24"/>
          <w:szCs w:val="24"/>
          <w:highlight w:val="none"/>
          <w:u w:val="single"/>
        </w:rPr>
        <w:t xml:space="preserve">    </w:t>
      </w:r>
      <w:r>
        <w:rPr>
          <w:rFonts w:hint="eastAsia" w:ascii="Times New Roman" w:hAnsi="Times New Roman" w:eastAsia="仿宋_GB2312" w:cs="仿宋_GB2312"/>
          <w:color w:val="000000"/>
          <w:sz w:val="24"/>
          <w:szCs w:val="24"/>
          <w:highlight w:val="none"/>
        </w:rPr>
        <w:t>日内完成项目</w:t>
      </w:r>
      <w:r>
        <w:rPr>
          <w:rFonts w:hint="eastAsia" w:ascii="Times New Roman" w:hAnsi="Times New Roman" w:eastAsia="仿宋_GB2312" w:cs="仿宋_GB2312"/>
          <w:color w:val="000000"/>
          <w:sz w:val="24"/>
          <w:szCs w:val="24"/>
          <w:highlight w:val="none"/>
          <w:lang w:val="en-US" w:eastAsia="zh-CN"/>
        </w:rPr>
        <w:t>要求的服务内容</w:t>
      </w:r>
      <w:r>
        <w:rPr>
          <w:rFonts w:hint="eastAsia" w:ascii="Times New Roman" w:hAnsi="Times New Roman" w:eastAsia="仿宋_GB2312" w:cs="仿宋_GB2312"/>
          <w:color w:val="000000"/>
          <w:sz w:val="24"/>
          <w:szCs w:val="24"/>
          <w:highlight w:val="none"/>
        </w:rPr>
        <w:t>，并</w:t>
      </w:r>
      <w:r>
        <w:rPr>
          <w:rFonts w:hint="eastAsia" w:ascii="Times New Roman" w:hAnsi="Times New Roman" w:eastAsia="仿宋_GB2312" w:cs="仿宋_GB2312"/>
          <w:color w:val="000000"/>
          <w:sz w:val="24"/>
          <w:szCs w:val="24"/>
          <w:highlight w:val="none"/>
          <w:lang w:val="en-US" w:eastAsia="zh-CN"/>
        </w:rPr>
        <w:t>生成相关报告供采购人</w:t>
      </w:r>
      <w:r>
        <w:rPr>
          <w:rFonts w:hint="eastAsia" w:ascii="Times New Roman" w:hAnsi="Times New Roman" w:eastAsia="仿宋_GB2312" w:cs="仿宋_GB2312"/>
          <w:color w:val="000000"/>
          <w:sz w:val="24"/>
          <w:szCs w:val="24"/>
          <w:highlight w:val="none"/>
        </w:rPr>
        <w:t>验收、使用。</w:t>
      </w:r>
    </w:p>
    <w:p w14:paraId="238B460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3、本报价有效期为自递交应答文件截止之日起</w:t>
      </w:r>
      <w:r>
        <w:rPr>
          <w:rFonts w:hint="eastAsia" w:ascii="Times New Roman" w:hAnsi="Times New Roman" w:eastAsia="仿宋_GB2312" w:cs="仿宋_GB2312"/>
          <w:color w:val="000000"/>
          <w:sz w:val="24"/>
          <w:szCs w:val="24"/>
          <w:highlight w:val="none"/>
          <w:u w:val="single"/>
          <w:lang w:val="en-US" w:eastAsia="zh-CN"/>
        </w:rPr>
        <w:t xml:space="preserve"> 90 </w:t>
      </w:r>
      <w:r>
        <w:rPr>
          <w:rFonts w:hint="eastAsia" w:ascii="Times New Roman" w:hAnsi="Times New Roman" w:eastAsia="仿宋_GB2312" w:cs="仿宋_GB2312"/>
          <w:color w:val="000000"/>
          <w:sz w:val="24"/>
          <w:szCs w:val="24"/>
          <w:highlight w:val="none"/>
          <w:lang w:val="en-US" w:eastAsia="zh-CN"/>
        </w:rPr>
        <w:t>个日历日。</w:t>
      </w:r>
    </w:p>
    <w:p w14:paraId="77DE934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lang w:val="en-US" w:eastAsia="zh-CN"/>
        </w:rPr>
        <w:t>4</w:t>
      </w:r>
      <w:r>
        <w:rPr>
          <w:rFonts w:hint="eastAsia" w:ascii="Times New Roman" w:hAnsi="Times New Roman" w:eastAsia="仿宋_GB2312" w:cs="仿宋_GB2312"/>
          <w:color w:val="000000"/>
          <w:sz w:val="24"/>
          <w:szCs w:val="24"/>
          <w:highlight w:val="none"/>
        </w:rPr>
        <w:t>、我方愿意提供贵公司可能另外要求的，与投标有关的文件资料，并保证我方已提供和将要提供的文件资料是真实、准确的。</w:t>
      </w:r>
    </w:p>
    <w:p w14:paraId="703085E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lang w:val="en-US" w:eastAsia="zh-CN"/>
        </w:rPr>
        <w:t>5</w:t>
      </w:r>
      <w:r>
        <w:rPr>
          <w:rFonts w:hint="eastAsia" w:ascii="Times New Roman" w:hAnsi="Times New Roman" w:eastAsia="仿宋_GB2312" w:cs="仿宋_GB2312"/>
          <w:color w:val="000000"/>
          <w:sz w:val="24"/>
          <w:szCs w:val="24"/>
          <w:highlight w:val="none"/>
        </w:rPr>
        <w:t>、我方完全理解</w:t>
      </w:r>
      <w:r>
        <w:rPr>
          <w:rFonts w:hint="eastAsia" w:ascii="Times New Roman" w:hAnsi="Times New Roman" w:eastAsia="仿宋_GB2312" w:cs="仿宋_GB2312"/>
          <w:color w:val="000000"/>
          <w:sz w:val="24"/>
          <w:szCs w:val="24"/>
          <w:highlight w:val="none"/>
          <w:lang w:val="en-US" w:eastAsia="zh-CN"/>
        </w:rPr>
        <w:t>采购</w:t>
      </w:r>
      <w:r>
        <w:rPr>
          <w:rFonts w:hint="eastAsia" w:ascii="Times New Roman" w:hAnsi="Times New Roman" w:eastAsia="仿宋_GB2312" w:cs="仿宋_GB2312"/>
          <w:color w:val="000000"/>
          <w:sz w:val="24"/>
          <w:szCs w:val="24"/>
          <w:highlight w:val="none"/>
        </w:rPr>
        <w:t>人不一定将合同授予最低报价的</w:t>
      </w:r>
      <w:r>
        <w:rPr>
          <w:rFonts w:hint="eastAsia" w:ascii="Times New Roman" w:hAnsi="Times New Roman" w:eastAsia="仿宋_GB2312" w:cs="仿宋_GB2312"/>
          <w:color w:val="000000"/>
          <w:sz w:val="24"/>
          <w:szCs w:val="24"/>
          <w:highlight w:val="none"/>
          <w:lang w:eastAsia="zh-CN"/>
        </w:rPr>
        <w:t>投标人</w:t>
      </w:r>
      <w:r>
        <w:rPr>
          <w:rFonts w:hint="eastAsia" w:ascii="Times New Roman" w:hAnsi="Times New Roman" w:eastAsia="仿宋_GB2312" w:cs="仿宋_GB2312"/>
          <w:color w:val="000000"/>
          <w:sz w:val="24"/>
          <w:szCs w:val="24"/>
          <w:highlight w:val="none"/>
        </w:rPr>
        <w:t>的行为。</w:t>
      </w:r>
    </w:p>
    <w:p w14:paraId="474763D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48E0CD3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 xml:space="preserve">投标人名称（公章）：               </w:t>
      </w:r>
    </w:p>
    <w:p w14:paraId="5B0523B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 xml:space="preserve">法定代表人或授权代表（签字或盖章）：                </w:t>
      </w:r>
    </w:p>
    <w:p w14:paraId="5F5A61F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 xml:space="preserve">日期 ：  </w:t>
      </w:r>
    </w:p>
    <w:p w14:paraId="79920D5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519FC864">
      <w:pPr>
        <w:keepNext w:val="0"/>
        <w:keepLines w:val="0"/>
        <w:pageBreakBefore w:val="0"/>
        <w:widowControl w:val="0"/>
        <w:kinsoku/>
        <w:wordWrap/>
        <w:overflowPunct/>
        <w:topLinePunct w:val="0"/>
        <w:autoSpaceDE/>
        <w:autoSpaceDN/>
        <w:bidi w:val="0"/>
        <w:adjustRightInd/>
        <w:snapToGrid/>
        <w:spacing w:before="260" w:after="260" w:line="360" w:lineRule="auto"/>
        <w:ind w:firstLine="641"/>
        <w:jc w:val="center"/>
        <w:textAlignment w:val="auto"/>
        <w:rPr>
          <w:rFonts w:ascii="仿宋" w:hAnsi="仿宋" w:eastAsia="仿宋"/>
          <w:bCs w:val="0"/>
          <w:szCs w:val="28"/>
        </w:rPr>
      </w:pPr>
      <w:r>
        <w:rPr>
          <w:rFonts w:hint="eastAsia" w:ascii="Times New Roman" w:hAnsi="Times New Roman" w:eastAsia="仿宋_GB2312" w:cs="仿宋_GB2312"/>
          <w:color w:val="000000"/>
          <w:sz w:val="32"/>
          <w:szCs w:val="32"/>
          <w:highlight w:val="none"/>
          <w:lang w:val="en-US" w:eastAsia="zh-CN"/>
        </w:rPr>
        <w:t>二、报价一览表</w:t>
      </w:r>
      <w:bookmarkEnd w:id="3"/>
    </w:p>
    <w:p w14:paraId="570AD6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仿宋_GB2312" w:cs="仿宋_GB2312"/>
          <w:color w:val="000000"/>
          <w:sz w:val="24"/>
          <w:szCs w:val="24"/>
          <w:highlight w:val="none"/>
          <w:lang w:val="en-US" w:eastAsia="zh-CN"/>
        </w:rPr>
      </w:pPr>
      <w:bookmarkStart w:id="6" w:name="PO_默认文件内容_9"/>
      <w:r>
        <w:rPr>
          <w:rFonts w:hint="eastAsia" w:ascii="Times New Roman" w:hAnsi="Times New Roman" w:eastAsia="仿宋_GB2312" w:cs="仿宋_GB2312"/>
          <w:color w:val="000000"/>
          <w:sz w:val="24"/>
          <w:szCs w:val="24"/>
          <w:highlight w:val="none"/>
          <w:lang w:val="en-US" w:eastAsia="zh-CN"/>
        </w:rPr>
        <w:t xml:space="preserve">投标人名称：     </w:t>
      </w:r>
    </w:p>
    <w:p w14:paraId="3DB7DF55">
      <w:pPr>
        <w:keepNext w:val="0"/>
        <w:keepLines w:val="0"/>
        <w:pageBreakBefore w:val="0"/>
        <w:widowControl w:val="0"/>
        <w:kinsoku/>
        <w:wordWrap/>
        <w:overflowPunct/>
        <w:topLinePunct w:val="0"/>
        <w:autoSpaceDE/>
        <w:autoSpaceDN/>
        <w:bidi w:val="0"/>
        <w:adjustRightInd/>
        <w:snapToGrid/>
        <w:spacing w:line="24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 xml:space="preserve">                                  </w:t>
      </w:r>
    </w:p>
    <w:tbl>
      <w:tblPr>
        <w:tblStyle w:val="17"/>
        <w:tblW w:w="922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2847"/>
        <w:gridCol w:w="1929"/>
        <w:gridCol w:w="3625"/>
      </w:tblGrid>
      <w:tr w14:paraId="1ACC2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19" w:type="dxa"/>
            <w:noWrap w:val="0"/>
            <w:vAlign w:val="center"/>
          </w:tcPr>
          <w:p w14:paraId="14EFDF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序号</w:t>
            </w:r>
          </w:p>
        </w:tc>
        <w:tc>
          <w:tcPr>
            <w:tcW w:w="4776" w:type="dxa"/>
            <w:gridSpan w:val="2"/>
            <w:noWrap w:val="0"/>
            <w:vAlign w:val="center"/>
          </w:tcPr>
          <w:p w14:paraId="6D0C06FB">
            <w:pPr>
              <w:keepNext w:val="0"/>
              <w:keepLines w:val="0"/>
              <w:pageBreakBefore w:val="0"/>
              <w:widowControl w:val="0"/>
              <w:kinsoku/>
              <w:wordWrap/>
              <w:overflowPunct/>
              <w:topLinePunct w:val="0"/>
              <w:autoSpaceDE/>
              <w:autoSpaceDN/>
              <w:bidi w:val="0"/>
              <w:adjustRightInd/>
              <w:snapToGrid/>
              <w:spacing w:line="240" w:lineRule="auto"/>
              <w:ind w:firstLine="420" w:firstLineChars="0"/>
              <w:jc w:val="center"/>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服务内容</w:t>
            </w:r>
          </w:p>
        </w:tc>
        <w:tc>
          <w:tcPr>
            <w:tcW w:w="3625" w:type="dxa"/>
            <w:noWrap w:val="0"/>
            <w:vAlign w:val="center"/>
          </w:tcPr>
          <w:p w14:paraId="3A10B144">
            <w:pPr>
              <w:keepNext w:val="0"/>
              <w:keepLines w:val="0"/>
              <w:pageBreakBefore w:val="0"/>
              <w:widowControl w:val="0"/>
              <w:kinsoku/>
              <w:wordWrap/>
              <w:overflowPunct/>
              <w:topLinePunct w:val="0"/>
              <w:autoSpaceDE/>
              <w:autoSpaceDN/>
              <w:bidi w:val="0"/>
              <w:adjustRightInd/>
              <w:snapToGrid/>
              <w:spacing w:line="240" w:lineRule="auto"/>
              <w:ind w:firstLine="420" w:firstLineChars="0"/>
              <w:jc w:val="center"/>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报价（万元）</w:t>
            </w:r>
          </w:p>
        </w:tc>
      </w:tr>
      <w:tr w14:paraId="3BB4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19" w:type="dxa"/>
            <w:noWrap w:val="0"/>
            <w:vAlign w:val="center"/>
          </w:tcPr>
          <w:p w14:paraId="3CD40E9C">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w:t>
            </w:r>
          </w:p>
        </w:tc>
        <w:tc>
          <w:tcPr>
            <w:tcW w:w="4776" w:type="dxa"/>
            <w:gridSpan w:val="2"/>
            <w:noWrap w:val="0"/>
            <w:vAlign w:val="center"/>
          </w:tcPr>
          <w:p w14:paraId="0EBD5CB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p>
        </w:tc>
        <w:tc>
          <w:tcPr>
            <w:tcW w:w="3625" w:type="dxa"/>
            <w:noWrap w:val="0"/>
            <w:vAlign w:val="center"/>
          </w:tcPr>
          <w:p w14:paraId="2CA4E69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p>
        </w:tc>
      </w:tr>
      <w:tr w14:paraId="4ECC1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5595" w:type="dxa"/>
            <w:gridSpan w:val="3"/>
            <w:noWrap w:val="0"/>
            <w:vAlign w:val="center"/>
          </w:tcPr>
          <w:p w14:paraId="1EBF53A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合  计（万元）</w:t>
            </w:r>
          </w:p>
        </w:tc>
        <w:tc>
          <w:tcPr>
            <w:tcW w:w="3625" w:type="dxa"/>
            <w:noWrap w:val="0"/>
            <w:vAlign w:val="center"/>
          </w:tcPr>
          <w:p w14:paraId="43EEF5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p>
        </w:tc>
      </w:tr>
      <w:tr w14:paraId="2B0DD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3666" w:type="dxa"/>
            <w:gridSpan w:val="2"/>
            <w:noWrap w:val="0"/>
            <w:vAlign w:val="center"/>
          </w:tcPr>
          <w:p w14:paraId="2F339B8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含税总价</w:t>
            </w:r>
          </w:p>
        </w:tc>
        <w:tc>
          <w:tcPr>
            <w:tcW w:w="5554" w:type="dxa"/>
            <w:gridSpan w:val="2"/>
            <w:noWrap w:val="0"/>
            <w:vAlign w:val="center"/>
          </w:tcPr>
          <w:p w14:paraId="45BDE58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人民币大写：            （人民币小写：万元）</w:t>
            </w:r>
          </w:p>
        </w:tc>
      </w:tr>
    </w:tbl>
    <w:p w14:paraId="1799637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3905F35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注：1.报价应是最终用户验收合格后的总价，必须以人民币报价。</w:t>
      </w:r>
    </w:p>
    <w:p w14:paraId="33C3A481">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2.如果各分项价格与合计有差异，以各分项价格为准。</w:t>
      </w:r>
    </w:p>
    <w:p w14:paraId="0B40DB2E">
      <w:pPr>
        <w:keepNext w:val="0"/>
        <w:keepLines w:val="0"/>
        <w:pageBreakBefore w:val="0"/>
        <w:widowControl w:val="0"/>
        <w:kinsoku/>
        <w:wordWrap/>
        <w:overflowPunct/>
        <w:topLinePunct w:val="0"/>
        <w:autoSpaceDE/>
        <w:autoSpaceDN/>
        <w:bidi w:val="0"/>
        <w:adjustRightInd/>
        <w:snapToGrid/>
        <w:spacing w:line="360" w:lineRule="auto"/>
        <w:ind w:firstLine="960" w:firstLineChars="40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3.如中选为成交人，投标人在执行合同期间不得提出其他额外费用。</w:t>
      </w:r>
    </w:p>
    <w:p w14:paraId="0477E7C6">
      <w:pPr>
        <w:keepNext w:val="0"/>
        <w:keepLines w:val="0"/>
        <w:pageBreakBefore w:val="0"/>
        <w:widowControl w:val="0"/>
        <w:kinsoku/>
        <w:wordWrap/>
        <w:overflowPunct/>
        <w:topLinePunct w:val="0"/>
        <w:autoSpaceDE/>
        <w:autoSpaceDN/>
        <w:bidi w:val="0"/>
        <w:adjustRightInd/>
        <w:snapToGrid/>
        <w:spacing w:line="360" w:lineRule="auto"/>
        <w:ind w:left="958" w:leftChars="456" w:firstLine="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4.报价须为含税全包价（增值税专用发票），包含服务实施过程中所有人工、</w:t>
      </w:r>
      <w:r>
        <w:rPr>
          <w:rFonts w:hint="eastAsia" w:ascii="Times New Roman" w:hAnsi="Times New Roman" w:eastAsia="仿宋_GB2312" w:cs="仿宋_GB2312"/>
          <w:color w:val="000000"/>
          <w:sz w:val="24"/>
          <w:szCs w:val="24"/>
          <w:highlight w:val="none"/>
          <w:lang w:val="en-US" w:eastAsia="zh-CN"/>
        </w:rPr>
        <w:tab/>
      </w:r>
      <w:r>
        <w:rPr>
          <w:rFonts w:hint="eastAsia" w:ascii="Times New Roman" w:hAnsi="Times New Roman" w:eastAsia="仿宋_GB2312" w:cs="仿宋_GB2312"/>
          <w:color w:val="000000"/>
          <w:sz w:val="24"/>
          <w:szCs w:val="24"/>
          <w:highlight w:val="none"/>
          <w:lang w:val="en-US" w:eastAsia="zh-CN"/>
        </w:rPr>
        <w:t>差旅、材料等费用，不得另行追加。报价总价超过最高限价的视为无效投标。</w:t>
      </w:r>
    </w:p>
    <w:p w14:paraId="0DCFEDD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p>
    <w:p w14:paraId="6B271ED4">
      <w:pPr>
        <w:pStyle w:val="4"/>
        <w:rPr>
          <w:rFonts w:hint="eastAsia" w:ascii="Times New Roman" w:hAnsi="Times New Roman" w:eastAsia="仿宋_GB2312" w:cs="仿宋_GB2312"/>
          <w:color w:val="000000"/>
          <w:sz w:val="24"/>
          <w:szCs w:val="24"/>
          <w:highlight w:val="none"/>
          <w:lang w:val="en-US" w:eastAsia="zh-CN"/>
        </w:rPr>
      </w:pPr>
    </w:p>
    <w:p w14:paraId="4DE60DE1">
      <w:pPr>
        <w:pStyle w:val="4"/>
        <w:rPr>
          <w:rFonts w:hint="eastAsia" w:ascii="Times New Roman" w:hAnsi="Times New Roman" w:eastAsia="仿宋_GB2312" w:cs="仿宋_GB2312"/>
          <w:color w:val="000000"/>
          <w:sz w:val="24"/>
          <w:szCs w:val="24"/>
          <w:highlight w:val="none"/>
          <w:lang w:val="en-US" w:eastAsia="zh-CN"/>
        </w:rPr>
      </w:pPr>
    </w:p>
    <w:p w14:paraId="7FFF652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投标人名称：        （盖章）</w:t>
      </w:r>
    </w:p>
    <w:p w14:paraId="4B87ACF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法定代表人或授权代表（签字）：</w:t>
      </w:r>
    </w:p>
    <w:p w14:paraId="7B361659">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投标日期：</w:t>
      </w:r>
    </w:p>
    <w:p w14:paraId="333125C8">
      <w:pPr>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675CEA83">
      <w:pPr>
        <w:keepNext w:val="0"/>
        <w:keepLines w:val="0"/>
        <w:pageBreakBefore w:val="0"/>
        <w:widowControl w:val="0"/>
        <w:numPr>
          <w:ilvl w:val="0"/>
          <w:numId w:val="1"/>
        </w:numPr>
        <w:kinsoku/>
        <w:wordWrap/>
        <w:overflowPunct/>
        <w:topLinePunct w:val="0"/>
        <w:autoSpaceDE/>
        <w:autoSpaceDN/>
        <w:bidi w:val="0"/>
        <w:adjustRightInd/>
        <w:snapToGrid/>
        <w:spacing w:before="260" w:after="260" w:line="400" w:lineRule="exact"/>
        <w:ind w:firstLine="641"/>
        <w:jc w:val="center"/>
        <w:textAlignment w:val="auto"/>
        <w:rPr>
          <w:rFonts w:hint="eastAsia" w:ascii="Times New Roman" w:hAnsi="Times New Roman" w:eastAsia="仿宋_GB2312" w:cs="仿宋_GB2312"/>
          <w:color w:val="000000"/>
          <w:sz w:val="32"/>
          <w:szCs w:val="32"/>
          <w:highlight w:val="none"/>
          <w:lang w:val="en-US" w:eastAsia="zh-CN"/>
        </w:rPr>
      </w:pPr>
      <w:bookmarkStart w:id="7" w:name="_Toc217446091"/>
      <w:r>
        <w:rPr>
          <w:rFonts w:hint="eastAsia" w:ascii="Times New Roman" w:hAnsi="Times New Roman" w:eastAsia="仿宋_GB2312" w:cs="仿宋_GB2312"/>
          <w:color w:val="000000"/>
          <w:sz w:val="32"/>
          <w:szCs w:val="32"/>
          <w:highlight w:val="none"/>
          <w:lang w:val="en-US" w:eastAsia="zh-CN"/>
        </w:rPr>
        <w:t>投标人基本情况介绍</w:t>
      </w:r>
    </w:p>
    <w:p w14:paraId="372FB2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需简明扼要地展示专业资质、服务能力和信誉优势，包括投标人简介，资质情况、获奖荣誉等（格式自拟）</w:t>
      </w:r>
    </w:p>
    <w:p w14:paraId="1A99C7A9">
      <w:pPr>
        <w:rPr>
          <w:rFonts w:hint="eastAsia" w:ascii="Times New Roman" w:hAnsi="Times New Roman" w:eastAsia="仿宋_GB2312" w:cs="仿宋_GB2312"/>
          <w:b w:val="0"/>
          <w:bCs w:val="0"/>
          <w:color w:val="000000"/>
          <w:kern w:val="2"/>
          <w:sz w:val="32"/>
          <w:szCs w:val="32"/>
          <w:highlight w:val="none"/>
          <w:lang w:val="en-US" w:eastAsia="zh-CN" w:bidi="ar-SA"/>
        </w:rPr>
      </w:pPr>
      <w:r>
        <w:rPr>
          <w:rFonts w:hint="eastAsia" w:ascii="Times New Roman" w:hAnsi="Times New Roman" w:eastAsia="仿宋_GB2312" w:cs="仿宋_GB2312"/>
          <w:b w:val="0"/>
          <w:bCs w:val="0"/>
          <w:color w:val="000000"/>
          <w:kern w:val="2"/>
          <w:sz w:val="32"/>
          <w:szCs w:val="32"/>
          <w:highlight w:val="none"/>
          <w:lang w:val="en-US" w:eastAsia="zh-CN" w:bidi="ar-SA"/>
        </w:rPr>
        <w:br w:type="page"/>
      </w:r>
    </w:p>
    <w:p w14:paraId="3E1798D4">
      <w:pPr>
        <w:keepNext w:val="0"/>
        <w:keepLines w:val="0"/>
        <w:pageBreakBefore w:val="0"/>
        <w:widowControl w:val="0"/>
        <w:kinsoku/>
        <w:wordWrap/>
        <w:overflowPunct/>
        <w:topLinePunct w:val="0"/>
        <w:autoSpaceDE/>
        <w:autoSpaceDN/>
        <w:bidi w:val="0"/>
        <w:adjustRightInd/>
        <w:snapToGrid/>
        <w:spacing w:before="260" w:after="260" w:line="360" w:lineRule="auto"/>
        <w:ind w:firstLine="641"/>
        <w:jc w:val="center"/>
        <w:textAlignment w:val="auto"/>
        <w:rPr>
          <w:rFonts w:hint="eastAsia" w:ascii="仿宋" w:hAnsi="仿宋" w:eastAsia="仿宋" w:cs="Arial"/>
          <w:bCs/>
          <w:sz w:val="24"/>
        </w:rPr>
      </w:pPr>
      <w:r>
        <w:rPr>
          <w:rFonts w:hint="eastAsia" w:ascii="Times New Roman" w:hAnsi="Times New Roman" w:eastAsia="仿宋_GB2312" w:cs="仿宋_GB2312"/>
          <w:b w:val="0"/>
          <w:bCs w:val="0"/>
          <w:color w:val="000000"/>
          <w:kern w:val="2"/>
          <w:sz w:val="32"/>
          <w:szCs w:val="32"/>
          <w:highlight w:val="none"/>
          <w:lang w:val="en-US" w:eastAsia="zh-CN" w:bidi="ar-SA"/>
        </w:rPr>
        <w:t>四、本项目团队人员情况表</w:t>
      </w:r>
      <w:bookmarkEnd w:id="7"/>
      <w:r>
        <w:rPr>
          <w:rFonts w:hint="eastAsia" w:ascii="仿宋" w:hAnsi="仿宋" w:eastAsia="仿宋" w:cs="Arial"/>
          <w:bCs/>
          <w:sz w:val="24"/>
        </w:rPr>
        <w:t xml:space="preserve">     </w:t>
      </w:r>
    </w:p>
    <w:tbl>
      <w:tblPr>
        <w:tblStyle w:val="17"/>
        <w:tblW w:w="10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810"/>
        <w:gridCol w:w="811"/>
        <w:gridCol w:w="811"/>
        <w:gridCol w:w="811"/>
        <w:gridCol w:w="1057"/>
        <w:gridCol w:w="1589"/>
        <w:gridCol w:w="1667"/>
        <w:gridCol w:w="1529"/>
      </w:tblGrid>
      <w:tr w14:paraId="729A0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noWrap w:val="0"/>
            <w:vAlign w:val="center"/>
          </w:tcPr>
          <w:p w14:paraId="7F7F4F74">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类别</w:t>
            </w:r>
          </w:p>
        </w:tc>
        <w:tc>
          <w:tcPr>
            <w:tcW w:w="810" w:type="dxa"/>
            <w:vMerge w:val="restart"/>
            <w:noWrap w:val="0"/>
            <w:vAlign w:val="center"/>
          </w:tcPr>
          <w:p w14:paraId="680C97D1">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职务</w:t>
            </w:r>
          </w:p>
        </w:tc>
        <w:tc>
          <w:tcPr>
            <w:tcW w:w="811" w:type="dxa"/>
            <w:vMerge w:val="restart"/>
            <w:noWrap w:val="0"/>
            <w:vAlign w:val="center"/>
          </w:tcPr>
          <w:p w14:paraId="70D86A3B">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姓名</w:t>
            </w:r>
          </w:p>
        </w:tc>
        <w:tc>
          <w:tcPr>
            <w:tcW w:w="811" w:type="dxa"/>
            <w:vMerge w:val="restart"/>
            <w:noWrap w:val="0"/>
            <w:vAlign w:val="center"/>
          </w:tcPr>
          <w:p w14:paraId="5A154C22">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职称</w:t>
            </w:r>
          </w:p>
        </w:tc>
        <w:tc>
          <w:tcPr>
            <w:tcW w:w="811" w:type="dxa"/>
            <w:vMerge w:val="restart"/>
            <w:noWrap w:val="0"/>
            <w:vAlign w:val="center"/>
          </w:tcPr>
          <w:p w14:paraId="3EA5B600">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学历</w:t>
            </w:r>
          </w:p>
        </w:tc>
        <w:tc>
          <w:tcPr>
            <w:tcW w:w="4313" w:type="dxa"/>
            <w:gridSpan w:val="3"/>
            <w:noWrap w:val="0"/>
            <w:vAlign w:val="center"/>
          </w:tcPr>
          <w:p w14:paraId="74ED9E8D">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资格证明（附复印件）</w:t>
            </w:r>
          </w:p>
        </w:tc>
        <w:tc>
          <w:tcPr>
            <w:tcW w:w="1529" w:type="dxa"/>
            <w:noWrap w:val="0"/>
            <w:vAlign w:val="center"/>
          </w:tcPr>
          <w:p w14:paraId="182846C3">
            <w:pPr>
              <w:spacing w:line="400" w:lineRule="exact"/>
              <w:jc w:val="cente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项目派驻情况</w:t>
            </w:r>
          </w:p>
        </w:tc>
      </w:tr>
      <w:tr w14:paraId="1BCE9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center"/>
          </w:tcPr>
          <w:p w14:paraId="233EEF54">
            <w:pPr>
              <w:spacing w:line="400" w:lineRule="exact"/>
              <w:jc w:val="center"/>
              <w:rPr>
                <w:rFonts w:hint="eastAsia" w:ascii="仿宋_GB2312" w:hAnsi="仿宋_GB2312" w:eastAsia="仿宋_GB2312" w:cs="仿宋_GB2312"/>
              </w:rPr>
            </w:pPr>
          </w:p>
        </w:tc>
        <w:tc>
          <w:tcPr>
            <w:tcW w:w="810" w:type="dxa"/>
            <w:vMerge w:val="continue"/>
            <w:noWrap w:val="0"/>
            <w:vAlign w:val="center"/>
          </w:tcPr>
          <w:p w14:paraId="2576C244">
            <w:pPr>
              <w:spacing w:line="400" w:lineRule="exact"/>
              <w:jc w:val="center"/>
              <w:rPr>
                <w:rFonts w:hint="eastAsia" w:ascii="仿宋_GB2312" w:hAnsi="仿宋_GB2312" w:eastAsia="仿宋_GB2312" w:cs="仿宋_GB2312"/>
              </w:rPr>
            </w:pPr>
          </w:p>
        </w:tc>
        <w:tc>
          <w:tcPr>
            <w:tcW w:w="811" w:type="dxa"/>
            <w:vMerge w:val="continue"/>
            <w:noWrap w:val="0"/>
            <w:vAlign w:val="center"/>
          </w:tcPr>
          <w:p w14:paraId="0D2BE1CF">
            <w:pPr>
              <w:spacing w:line="400" w:lineRule="exact"/>
              <w:jc w:val="center"/>
              <w:rPr>
                <w:rFonts w:hint="eastAsia" w:ascii="仿宋_GB2312" w:hAnsi="仿宋_GB2312" w:eastAsia="仿宋_GB2312" w:cs="仿宋_GB2312"/>
              </w:rPr>
            </w:pPr>
          </w:p>
        </w:tc>
        <w:tc>
          <w:tcPr>
            <w:tcW w:w="811" w:type="dxa"/>
            <w:vMerge w:val="continue"/>
            <w:noWrap w:val="0"/>
            <w:vAlign w:val="center"/>
          </w:tcPr>
          <w:p w14:paraId="1DA95A7C">
            <w:pPr>
              <w:spacing w:line="400" w:lineRule="exact"/>
              <w:jc w:val="center"/>
              <w:rPr>
                <w:rFonts w:hint="eastAsia" w:ascii="仿宋_GB2312" w:hAnsi="仿宋_GB2312" w:eastAsia="仿宋_GB2312" w:cs="仿宋_GB2312"/>
              </w:rPr>
            </w:pPr>
          </w:p>
        </w:tc>
        <w:tc>
          <w:tcPr>
            <w:tcW w:w="811" w:type="dxa"/>
            <w:vMerge w:val="continue"/>
            <w:noWrap w:val="0"/>
            <w:vAlign w:val="center"/>
          </w:tcPr>
          <w:p w14:paraId="2EF21DF6">
            <w:pPr>
              <w:spacing w:line="400" w:lineRule="exact"/>
              <w:jc w:val="center"/>
              <w:rPr>
                <w:rFonts w:hint="eastAsia" w:ascii="仿宋_GB2312" w:hAnsi="仿宋_GB2312" w:eastAsia="仿宋_GB2312" w:cs="仿宋_GB2312"/>
              </w:rPr>
            </w:pPr>
          </w:p>
        </w:tc>
        <w:tc>
          <w:tcPr>
            <w:tcW w:w="1057" w:type="dxa"/>
            <w:noWrap w:val="0"/>
            <w:vAlign w:val="center"/>
          </w:tcPr>
          <w:p w14:paraId="7BC87CB5">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证书名称</w:t>
            </w:r>
          </w:p>
        </w:tc>
        <w:tc>
          <w:tcPr>
            <w:tcW w:w="1589" w:type="dxa"/>
            <w:noWrap w:val="0"/>
            <w:vAlign w:val="center"/>
          </w:tcPr>
          <w:p w14:paraId="3F53CF2F">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证号</w:t>
            </w:r>
          </w:p>
        </w:tc>
        <w:tc>
          <w:tcPr>
            <w:tcW w:w="1667" w:type="dxa"/>
            <w:noWrap w:val="0"/>
            <w:vAlign w:val="center"/>
          </w:tcPr>
          <w:p w14:paraId="4B57ECEF">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执业年限</w:t>
            </w:r>
          </w:p>
        </w:tc>
        <w:tc>
          <w:tcPr>
            <w:tcW w:w="1529" w:type="dxa"/>
            <w:noWrap w:val="0"/>
            <w:vAlign w:val="center"/>
          </w:tcPr>
          <w:p w14:paraId="65D6D26E">
            <w:pPr>
              <w:spacing w:line="400" w:lineRule="exact"/>
              <w:jc w:val="center"/>
              <w:rPr>
                <w:rFonts w:hint="eastAsia" w:ascii="仿宋_GB2312" w:hAnsi="仿宋_GB2312" w:eastAsia="仿宋_GB2312" w:cs="仿宋_GB2312"/>
              </w:rPr>
            </w:pPr>
          </w:p>
        </w:tc>
      </w:tr>
      <w:tr w14:paraId="65FA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restart"/>
            <w:noWrap w:val="0"/>
            <w:vAlign w:val="top"/>
          </w:tcPr>
          <w:p w14:paraId="53B1C34D">
            <w:pPr>
              <w:spacing w:line="400" w:lineRule="exact"/>
              <w:jc w:val="center"/>
              <w:rPr>
                <w:rFonts w:hint="eastAsia" w:ascii="仿宋_GB2312" w:hAnsi="仿宋_GB2312" w:eastAsia="仿宋_GB2312" w:cs="仿宋_GB2312"/>
                <w:sz w:val="28"/>
              </w:rPr>
            </w:pPr>
            <w:r>
              <w:rPr>
                <w:rFonts w:hint="eastAsia" w:ascii="仿宋_GB2312" w:hAnsi="仿宋_GB2312" w:eastAsia="仿宋_GB2312" w:cs="仿宋_GB2312"/>
              </w:rPr>
              <w:t>项目负责人</w:t>
            </w:r>
          </w:p>
        </w:tc>
        <w:tc>
          <w:tcPr>
            <w:tcW w:w="810" w:type="dxa"/>
            <w:noWrap w:val="0"/>
            <w:vAlign w:val="top"/>
          </w:tcPr>
          <w:p w14:paraId="4996AE8C">
            <w:pPr>
              <w:spacing w:line="400" w:lineRule="exact"/>
              <w:jc w:val="center"/>
              <w:rPr>
                <w:rFonts w:hint="eastAsia" w:ascii="仿宋_GB2312" w:hAnsi="仿宋_GB2312" w:eastAsia="仿宋_GB2312" w:cs="仿宋_GB2312"/>
                <w:sz w:val="28"/>
              </w:rPr>
            </w:pPr>
          </w:p>
        </w:tc>
        <w:tc>
          <w:tcPr>
            <w:tcW w:w="811" w:type="dxa"/>
            <w:noWrap w:val="0"/>
            <w:vAlign w:val="top"/>
          </w:tcPr>
          <w:p w14:paraId="4DDA2597">
            <w:pPr>
              <w:spacing w:line="400" w:lineRule="exact"/>
              <w:jc w:val="center"/>
              <w:rPr>
                <w:rFonts w:hint="eastAsia" w:ascii="仿宋_GB2312" w:hAnsi="仿宋_GB2312" w:eastAsia="仿宋_GB2312" w:cs="仿宋_GB2312"/>
                <w:sz w:val="28"/>
              </w:rPr>
            </w:pPr>
          </w:p>
        </w:tc>
        <w:tc>
          <w:tcPr>
            <w:tcW w:w="811" w:type="dxa"/>
            <w:noWrap w:val="0"/>
            <w:vAlign w:val="top"/>
          </w:tcPr>
          <w:p w14:paraId="7ABF06EC">
            <w:pPr>
              <w:spacing w:line="400" w:lineRule="exact"/>
              <w:jc w:val="center"/>
              <w:rPr>
                <w:rFonts w:hint="eastAsia" w:ascii="仿宋_GB2312" w:hAnsi="仿宋_GB2312" w:eastAsia="仿宋_GB2312" w:cs="仿宋_GB2312"/>
                <w:sz w:val="28"/>
              </w:rPr>
            </w:pPr>
          </w:p>
        </w:tc>
        <w:tc>
          <w:tcPr>
            <w:tcW w:w="811" w:type="dxa"/>
            <w:noWrap w:val="0"/>
            <w:vAlign w:val="top"/>
          </w:tcPr>
          <w:p w14:paraId="4AA6DD08">
            <w:pPr>
              <w:spacing w:line="400" w:lineRule="exact"/>
              <w:jc w:val="center"/>
              <w:rPr>
                <w:rFonts w:hint="eastAsia" w:ascii="仿宋_GB2312" w:hAnsi="仿宋_GB2312" w:eastAsia="仿宋_GB2312" w:cs="仿宋_GB2312"/>
                <w:sz w:val="28"/>
              </w:rPr>
            </w:pPr>
          </w:p>
        </w:tc>
        <w:tc>
          <w:tcPr>
            <w:tcW w:w="1057" w:type="dxa"/>
            <w:noWrap w:val="0"/>
            <w:vAlign w:val="top"/>
          </w:tcPr>
          <w:p w14:paraId="190DB7F3">
            <w:pPr>
              <w:spacing w:line="400" w:lineRule="exact"/>
              <w:jc w:val="center"/>
              <w:rPr>
                <w:rFonts w:hint="eastAsia" w:ascii="仿宋_GB2312" w:hAnsi="仿宋_GB2312" w:eastAsia="仿宋_GB2312" w:cs="仿宋_GB2312"/>
                <w:sz w:val="28"/>
              </w:rPr>
            </w:pPr>
          </w:p>
        </w:tc>
        <w:tc>
          <w:tcPr>
            <w:tcW w:w="1589" w:type="dxa"/>
            <w:noWrap w:val="0"/>
            <w:vAlign w:val="top"/>
          </w:tcPr>
          <w:p w14:paraId="0B0289DD">
            <w:pPr>
              <w:spacing w:line="400" w:lineRule="exact"/>
              <w:jc w:val="center"/>
              <w:rPr>
                <w:rFonts w:hint="eastAsia" w:ascii="仿宋_GB2312" w:hAnsi="仿宋_GB2312" w:eastAsia="仿宋_GB2312" w:cs="仿宋_GB2312"/>
                <w:sz w:val="28"/>
              </w:rPr>
            </w:pPr>
          </w:p>
        </w:tc>
        <w:tc>
          <w:tcPr>
            <w:tcW w:w="1667" w:type="dxa"/>
            <w:noWrap w:val="0"/>
            <w:vAlign w:val="top"/>
          </w:tcPr>
          <w:p w14:paraId="660C756D">
            <w:pPr>
              <w:spacing w:line="400" w:lineRule="exact"/>
              <w:jc w:val="center"/>
              <w:rPr>
                <w:rFonts w:hint="eastAsia" w:ascii="仿宋_GB2312" w:hAnsi="仿宋_GB2312" w:eastAsia="仿宋_GB2312" w:cs="仿宋_GB2312"/>
                <w:sz w:val="28"/>
              </w:rPr>
            </w:pPr>
          </w:p>
        </w:tc>
        <w:tc>
          <w:tcPr>
            <w:tcW w:w="1529" w:type="dxa"/>
            <w:noWrap w:val="0"/>
            <w:vAlign w:val="top"/>
          </w:tcPr>
          <w:p w14:paraId="2024CBE7">
            <w:pPr>
              <w:spacing w:line="400" w:lineRule="exact"/>
              <w:jc w:val="center"/>
              <w:rPr>
                <w:rFonts w:hint="eastAsia" w:ascii="仿宋_GB2312" w:hAnsi="仿宋_GB2312" w:eastAsia="仿宋_GB2312" w:cs="仿宋_GB2312"/>
                <w:sz w:val="28"/>
              </w:rPr>
            </w:pPr>
          </w:p>
        </w:tc>
      </w:tr>
      <w:tr w14:paraId="1843A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17B05344">
            <w:pPr>
              <w:spacing w:line="400" w:lineRule="exact"/>
              <w:jc w:val="center"/>
              <w:rPr>
                <w:rFonts w:hint="eastAsia" w:ascii="仿宋_GB2312" w:hAnsi="仿宋_GB2312" w:eastAsia="仿宋_GB2312" w:cs="仿宋_GB2312"/>
                <w:sz w:val="28"/>
              </w:rPr>
            </w:pPr>
          </w:p>
        </w:tc>
        <w:tc>
          <w:tcPr>
            <w:tcW w:w="810" w:type="dxa"/>
            <w:noWrap w:val="0"/>
            <w:vAlign w:val="top"/>
          </w:tcPr>
          <w:p w14:paraId="61103187">
            <w:pPr>
              <w:spacing w:line="400" w:lineRule="exact"/>
              <w:jc w:val="center"/>
              <w:rPr>
                <w:rFonts w:hint="eastAsia" w:ascii="仿宋_GB2312" w:hAnsi="仿宋_GB2312" w:eastAsia="仿宋_GB2312" w:cs="仿宋_GB2312"/>
                <w:sz w:val="28"/>
              </w:rPr>
            </w:pPr>
          </w:p>
        </w:tc>
        <w:tc>
          <w:tcPr>
            <w:tcW w:w="811" w:type="dxa"/>
            <w:noWrap w:val="0"/>
            <w:vAlign w:val="top"/>
          </w:tcPr>
          <w:p w14:paraId="5F176603">
            <w:pPr>
              <w:spacing w:line="400" w:lineRule="exact"/>
              <w:jc w:val="center"/>
              <w:rPr>
                <w:rFonts w:hint="eastAsia" w:ascii="仿宋_GB2312" w:hAnsi="仿宋_GB2312" w:eastAsia="仿宋_GB2312" w:cs="仿宋_GB2312"/>
                <w:sz w:val="28"/>
              </w:rPr>
            </w:pPr>
          </w:p>
        </w:tc>
        <w:tc>
          <w:tcPr>
            <w:tcW w:w="811" w:type="dxa"/>
            <w:noWrap w:val="0"/>
            <w:vAlign w:val="top"/>
          </w:tcPr>
          <w:p w14:paraId="3FA1492E">
            <w:pPr>
              <w:spacing w:line="400" w:lineRule="exact"/>
              <w:jc w:val="center"/>
              <w:rPr>
                <w:rFonts w:hint="eastAsia" w:ascii="仿宋_GB2312" w:hAnsi="仿宋_GB2312" w:eastAsia="仿宋_GB2312" w:cs="仿宋_GB2312"/>
                <w:sz w:val="28"/>
              </w:rPr>
            </w:pPr>
          </w:p>
        </w:tc>
        <w:tc>
          <w:tcPr>
            <w:tcW w:w="811" w:type="dxa"/>
            <w:noWrap w:val="0"/>
            <w:vAlign w:val="top"/>
          </w:tcPr>
          <w:p w14:paraId="0DE9B412">
            <w:pPr>
              <w:spacing w:line="400" w:lineRule="exact"/>
              <w:jc w:val="center"/>
              <w:rPr>
                <w:rFonts w:hint="eastAsia" w:ascii="仿宋_GB2312" w:hAnsi="仿宋_GB2312" w:eastAsia="仿宋_GB2312" w:cs="仿宋_GB2312"/>
                <w:sz w:val="28"/>
              </w:rPr>
            </w:pPr>
          </w:p>
        </w:tc>
        <w:tc>
          <w:tcPr>
            <w:tcW w:w="1057" w:type="dxa"/>
            <w:noWrap w:val="0"/>
            <w:vAlign w:val="top"/>
          </w:tcPr>
          <w:p w14:paraId="22AA02C5">
            <w:pPr>
              <w:spacing w:line="400" w:lineRule="exact"/>
              <w:jc w:val="center"/>
              <w:rPr>
                <w:rFonts w:hint="eastAsia" w:ascii="仿宋_GB2312" w:hAnsi="仿宋_GB2312" w:eastAsia="仿宋_GB2312" w:cs="仿宋_GB2312"/>
                <w:sz w:val="28"/>
              </w:rPr>
            </w:pPr>
          </w:p>
        </w:tc>
        <w:tc>
          <w:tcPr>
            <w:tcW w:w="1589" w:type="dxa"/>
            <w:noWrap w:val="0"/>
            <w:vAlign w:val="top"/>
          </w:tcPr>
          <w:p w14:paraId="6C8B350F">
            <w:pPr>
              <w:spacing w:line="400" w:lineRule="exact"/>
              <w:jc w:val="center"/>
              <w:rPr>
                <w:rFonts w:hint="eastAsia" w:ascii="仿宋_GB2312" w:hAnsi="仿宋_GB2312" w:eastAsia="仿宋_GB2312" w:cs="仿宋_GB2312"/>
                <w:sz w:val="28"/>
              </w:rPr>
            </w:pPr>
          </w:p>
        </w:tc>
        <w:tc>
          <w:tcPr>
            <w:tcW w:w="1667" w:type="dxa"/>
            <w:noWrap w:val="0"/>
            <w:vAlign w:val="top"/>
          </w:tcPr>
          <w:p w14:paraId="60FC47CA">
            <w:pPr>
              <w:spacing w:line="400" w:lineRule="exact"/>
              <w:jc w:val="center"/>
              <w:rPr>
                <w:rFonts w:hint="eastAsia" w:ascii="仿宋_GB2312" w:hAnsi="仿宋_GB2312" w:eastAsia="仿宋_GB2312" w:cs="仿宋_GB2312"/>
                <w:sz w:val="28"/>
              </w:rPr>
            </w:pPr>
          </w:p>
        </w:tc>
        <w:tc>
          <w:tcPr>
            <w:tcW w:w="1529" w:type="dxa"/>
            <w:noWrap w:val="0"/>
            <w:vAlign w:val="top"/>
          </w:tcPr>
          <w:p w14:paraId="27A23F59">
            <w:pPr>
              <w:spacing w:line="400" w:lineRule="exact"/>
              <w:jc w:val="center"/>
              <w:rPr>
                <w:rFonts w:hint="eastAsia" w:ascii="仿宋_GB2312" w:hAnsi="仿宋_GB2312" w:eastAsia="仿宋_GB2312" w:cs="仿宋_GB2312"/>
                <w:sz w:val="28"/>
              </w:rPr>
            </w:pPr>
          </w:p>
        </w:tc>
      </w:tr>
      <w:tr w14:paraId="15DCA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noWrap w:val="0"/>
            <w:vAlign w:val="top"/>
          </w:tcPr>
          <w:p w14:paraId="5E2456F7">
            <w:pPr>
              <w:spacing w:line="400" w:lineRule="exact"/>
              <w:jc w:val="center"/>
              <w:rPr>
                <w:rFonts w:hint="eastAsia" w:ascii="仿宋_GB2312" w:hAnsi="仿宋_GB2312" w:eastAsia="仿宋_GB2312" w:cs="仿宋_GB2312"/>
                <w:sz w:val="28"/>
              </w:rPr>
            </w:pPr>
          </w:p>
        </w:tc>
        <w:tc>
          <w:tcPr>
            <w:tcW w:w="810" w:type="dxa"/>
            <w:noWrap w:val="0"/>
            <w:vAlign w:val="top"/>
          </w:tcPr>
          <w:p w14:paraId="299539BB">
            <w:pPr>
              <w:spacing w:line="400" w:lineRule="exact"/>
              <w:jc w:val="center"/>
              <w:rPr>
                <w:rFonts w:hint="eastAsia" w:ascii="仿宋_GB2312" w:hAnsi="仿宋_GB2312" w:eastAsia="仿宋_GB2312" w:cs="仿宋_GB2312"/>
                <w:sz w:val="28"/>
              </w:rPr>
            </w:pPr>
          </w:p>
        </w:tc>
        <w:tc>
          <w:tcPr>
            <w:tcW w:w="811" w:type="dxa"/>
            <w:noWrap w:val="0"/>
            <w:vAlign w:val="top"/>
          </w:tcPr>
          <w:p w14:paraId="2142ED58">
            <w:pPr>
              <w:spacing w:line="400" w:lineRule="exact"/>
              <w:jc w:val="center"/>
              <w:rPr>
                <w:rFonts w:hint="eastAsia" w:ascii="仿宋_GB2312" w:hAnsi="仿宋_GB2312" w:eastAsia="仿宋_GB2312" w:cs="仿宋_GB2312"/>
                <w:sz w:val="28"/>
              </w:rPr>
            </w:pPr>
          </w:p>
        </w:tc>
        <w:tc>
          <w:tcPr>
            <w:tcW w:w="811" w:type="dxa"/>
            <w:noWrap w:val="0"/>
            <w:vAlign w:val="top"/>
          </w:tcPr>
          <w:p w14:paraId="42300424">
            <w:pPr>
              <w:spacing w:line="400" w:lineRule="exact"/>
              <w:jc w:val="center"/>
              <w:rPr>
                <w:rFonts w:hint="eastAsia" w:ascii="仿宋_GB2312" w:hAnsi="仿宋_GB2312" w:eastAsia="仿宋_GB2312" w:cs="仿宋_GB2312"/>
                <w:sz w:val="28"/>
              </w:rPr>
            </w:pPr>
          </w:p>
        </w:tc>
        <w:tc>
          <w:tcPr>
            <w:tcW w:w="811" w:type="dxa"/>
            <w:noWrap w:val="0"/>
            <w:vAlign w:val="top"/>
          </w:tcPr>
          <w:p w14:paraId="67233DB9">
            <w:pPr>
              <w:spacing w:line="400" w:lineRule="exact"/>
              <w:jc w:val="center"/>
              <w:rPr>
                <w:rFonts w:hint="eastAsia" w:ascii="仿宋_GB2312" w:hAnsi="仿宋_GB2312" w:eastAsia="仿宋_GB2312" w:cs="仿宋_GB2312"/>
                <w:sz w:val="28"/>
              </w:rPr>
            </w:pPr>
          </w:p>
        </w:tc>
        <w:tc>
          <w:tcPr>
            <w:tcW w:w="1057" w:type="dxa"/>
            <w:noWrap w:val="0"/>
            <w:vAlign w:val="top"/>
          </w:tcPr>
          <w:p w14:paraId="2907CAB5">
            <w:pPr>
              <w:spacing w:line="400" w:lineRule="exact"/>
              <w:jc w:val="center"/>
              <w:rPr>
                <w:rFonts w:hint="eastAsia" w:ascii="仿宋_GB2312" w:hAnsi="仿宋_GB2312" w:eastAsia="仿宋_GB2312" w:cs="仿宋_GB2312"/>
                <w:sz w:val="28"/>
              </w:rPr>
            </w:pPr>
          </w:p>
        </w:tc>
        <w:tc>
          <w:tcPr>
            <w:tcW w:w="1589" w:type="dxa"/>
            <w:noWrap w:val="0"/>
            <w:vAlign w:val="top"/>
          </w:tcPr>
          <w:p w14:paraId="5B96E0D9">
            <w:pPr>
              <w:spacing w:line="400" w:lineRule="exact"/>
              <w:jc w:val="center"/>
              <w:rPr>
                <w:rFonts w:hint="eastAsia" w:ascii="仿宋_GB2312" w:hAnsi="仿宋_GB2312" w:eastAsia="仿宋_GB2312" w:cs="仿宋_GB2312"/>
                <w:sz w:val="28"/>
              </w:rPr>
            </w:pPr>
          </w:p>
        </w:tc>
        <w:tc>
          <w:tcPr>
            <w:tcW w:w="1667" w:type="dxa"/>
            <w:noWrap w:val="0"/>
            <w:vAlign w:val="top"/>
          </w:tcPr>
          <w:p w14:paraId="4B89CA7F">
            <w:pPr>
              <w:spacing w:line="400" w:lineRule="exact"/>
              <w:jc w:val="center"/>
              <w:rPr>
                <w:rFonts w:hint="eastAsia" w:ascii="仿宋_GB2312" w:hAnsi="仿宋_GB2312" w:eastAsia="仿宋_GB2312" w:cs="仿宋_GB2312"/>
                <w:sz w:val="28"/>
              </w:rPr>
            </w:pPr>
          </w:p>
        </w:tc>
        <w:tc>
          <w:tcPr>
            <w:tcW w:w="1529" w:type="dxa"/>
            <w:noWrap w:val="0"/>
            <w:vAlign w:val="top"/>
          </w:tcPr>
          <w:p w14:paraId="2F7982DA">
            <w:pPr>
              <w:spacing w:line="400" w:lineRule="exact"/>
              <w:jc w:val="center"/>
              <w:rPr>
                <w:rFonts w:hint="eastAsia" w:ascii="仿宋_GB2312" w:hAnsi="仿宋_GB2312" w:eastAsia="仿宋_GB2312" w:cs="仿宋_GB2312"/>
                <w:sz w:val="28"/>
              </w:rPr>
            </w:pPr>
          </w:p>
        </w:tc>
      </w:tr>
      <w:tr w14:paraId="5A50D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noWrap w:val="0"/>
            <w:vAlign w:val="top"/>
          </w:tcPr>
          <w:p w14:paraId="24E5185A">
            <w:pPr>
              <w:spacing w:line="400" w:lineRule="exact"/>
              <w:jc w:val="center"/>
              <w:rPr>
                <w:rFonts w:hint="eastAsia" w:ascii="仿宋_GB2312" w:hAnsi="仿宋_GB2312" w:eastAsia="仿宋_GB2312" w:cs="仿宋_GB2312"/>
              </w:rPr>
            </w:pPr>
            <w:r>
              <w:rPr>
                <w:rFonts w:hint="eastAsia" w:ascii="仿宋_GB2312" w:hAnsi="仿宋_GB2312" w:eastAsia="仿宋_GB2312" w:cs="仿宋_GB2312"/>
              </w:rPr>
              <w:t>项目组其他成员</w:t>
            </w:r>
          </w:p>
        </w:tc>
        <w:tc>
          <w:tcPr>
            <w:tcW w:w="810" w:type="dxa"/>
            <w:noWrap w:val="0"/>
            <w:vAlign w:val="top"/>
          </w:tcPr>
          <w:p w14:paraId="773B7CB0">
            <w:pPr>
              <w:spacing w:line="400" w:lineRule="exact"/>
              <w:jc w:val="center"/>
              <w:rPr>
                <w:rFonts w:hint="eastAsia" w:ascii="仿宋_GB2312" w:hAnsi="仿宋_GB2312" w:eastAsia="仿宋_GB2312" w:cs="仿宋_GB2312"/>
                <w:sz w:val="28"/>
              </w:rPr>
            </w:pPr>
          </w:p>
        </w:tc>
        <w:tc>
          <w:tcPr>
            <w:tcW w:w="811" w:type="dxa"/>
            <w:noWrap w:val="0"/>
            <w:vAlign w:val="top"/>
          </w:tcPr>
          <w:p w14:paraId="1D4D0B42">
            <w:pPr>
              <w:spacing w:line="400" w:lineRule="exact"/>
              <w:jc w:val="center"/>
              <w:rPr>
                <w:rFonts w:hint="eastAsia" w:ascii="仿宋_GB2312" w:hAnsi="仿宋_GB2312" w:eastAsia="仿宋_GB2312" w:cs="仿宋_GB2312"/>
                <w:sz w:val="28"/>
              </w:rPr>
            </w:pPr>
          </w:p>
        </w:tc>
        <w:tc>
          <w:tcPr>
            <w:tcW w:w="811" w:type="dxa"/>
            <w:noWrap w:val="0"/>
            <w:vAlign w:val="top"/>
          </w:tcPr>
          <w:p w14:paraId="76F717AC">
            <w:pPr>
              <w:spacing w:line="400" w:lineRule="exact"/>
              <w:jc w:val="center"/>
              <w:rPr>
                <w:rFonts w:hint="eastAsia" w:ascii="仿宋_GB2312" w:hAnsi="仿宋_GB2312" w:eastAsia="仿宋_GB2312" w:cs="仿宋_GB2312"/>
                <w:sz w:val="28"/>
              </w:rPr>
            </w:pPr>
          </w:p>
        </w:tc>
        <w:tc>
          <w:tcPr>
            <w:tcW w:w="811" w:type="dxa"/>
            <w:noWrap w:val="0"/>
            <w:vAlign w:val="top"/>
          </w:tcPr>
          <w:p w14:paraId="639C1AA3">
            <w:pPr>
              <w:spacing w:line="400" w:lineRule="exact"/>
              <w:jc w:val="center"/>
              <w:rPr>
                <w:rFonts w:hint="eastAsia" w:ascii="仿宋_GB2312" w:hAnsi="仿宋_GB2312" w:eastAsia="仿宋_GB2312" w:cs="仿宋_GB2312"/>
                <w:sz w:val="28"/>
              </w:rPr>
            </w:pPr>
          </w:p>
        </w:tc>
        <w:tc>
          <w:tcPr>
            <w:tcW w:w="1057" w:type="dxa"/>
            <w:noWrap w:val="0"/>
            <w:vAlign w:val="top"/>
          </w:tcPr>
          <w:p w14:paraId="281B0177">
            <w:pPr>
              <w:spacing w:line="400" w:lineRule="exact"/>
              <w:jc w:val="center"/>
              <w:rPr>
                <w:rFonts w:hint="eastAsia" w:ascii="仿宋_GB2312" w:hAnsi="仿宋_GB2312" w:eastAsia="仿宋_GB2312" w:cs="仿宋_GB2312"/>
                <w:sz w:val="28"/>
              </w:rPr>
            </w:pPr>
          </w:p>
        </w:tc>
        <w:tc>
          <w:tcPr>
            <w:tcW w:w="1589" w:type="dxa"/>
            <w:noWrap w:val="0"/>
            <w:vAlign w:val="top"/>
          </w:tcPr>
          <w:p w14:paraId="3ECE7CC0">
            <w:pPr>
              <w:spacing w:line="400" w:lineRule="exact"/>
              <w:jc w:val="center"/>
              <w:rPr>
                <w:rFonts w:hint="eastAsia" w:ascii="仿宋_GB2312" w:hAnsi="仿宋_GB2312" w:eastAsia="仿宋_GB2312" w:cs="仿宋_GB2312"/>
                <w:sz w:val="28"/>
              </w:rPr>
            </w:pPr>
          </w:p>
        </w:tc>
        <w:tc>
          <w:tcPr>
            <w:tcW w:w="1667" w:type="dxa"/>
            <w:noWrap w:val="0"/>
            <w:vAlign w:val="top"/>
          </w:tcPr>
          <w:p w14:paraId="4BB33FA7">
            <w:pPr>
              <w:spacing w:line="400" w:lineRule="exact"/>
              <w:jc w:val="center"/>
              <w:rPr>
                <w:rFonts w:hint="eastAsia" w:ascii="仿宋_GB2312" w:hAnsi="仿宋_GB2312" w:eastAsia="仿宋_GB2312" w:cs="仿宋_GB2312"/>
                <w:sz w:val="28"/>
              </w:rPr>
            </w:pPr>
          </w:p>
        </w:tc>
        <w:tc>
          <w:tcPr>
            <w:tcW w:w="1529" w:type="dxa"/>
            <w:noWrap w:val="0"/>
            <w:vAlign w:val="top"/>
          </w:tcPr>
          <w:p w14:paraId="26548EF2">
            <w:pPr>
              <w:spacing w:line="400" w:lineRule="exact"/>
              <w:jc w:val="center"/>
              <w:rPr>
                <w:rFonts w:hint="eastAsia" w:ascii="仿宋_GB2312" w:hAnsi="仿宋_GB2312" w:eastAsia="仿宋_GB2312" w:cs="仿宋_GB2312"/>
                <w:sz w:val="28"/>
              </w:rPr>
            </w:pPr>
          </w:p>
        </w:tc>
      </w:tr>
      <w:tr w14:paraId="713E7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noWrap w:val="0"/>
            <w:vAlign w:val="top"/>
          </w:tcPr>
          <w:p w14:paraId="36EA6303">
            <w:pPr>
              <w:spacing w:line="400" w:lineRule="exact"/>
              <w:jc w:val="center"/>
              <w:rPr>
                <w:rFonts w:hint="eastAsia" w:ascii="仿宋_GB2312" w:hAnsi="仿宋_GB2312" w:eastAsia="仿宋_GB2312" w:cs="仿宋_GB2312"/>
              </w:rPr>
            </w:pPr>
          </w:p>
        </w:tc>
        <w:tc>
          <w:tcPr>
            <w:tcW w:w="810" w:type="dxa"/>
            <w:noWrap w:val="0"/>
            <w:vAlign w:val="top"/>
          </w:tcPr>
          <w:p w14:paraId="27BC9B63">
            <w:pPr>
              <w:spacing w:line="400" w:lineRule="exact"/>
              <w:jc w:val="center"/>
              <w:rPr>
                <w:rFonts w:hint="eastAsia" w:ascii="仿宋_GB2312" w:hAnsi="仿宋_GB2312" w:eastAsia="仿宋_GB2312" w:cs="仿宋_GB2312"/>
                <w:sz w:val="28"/>
              </w:rPr>
            </w:pPr>
          </w:p>
        </w:tc>
        <w:tc>
          <w:tcPr>
            <w:tcW w:w="811" w:type="dxa"/>
            <w:noWrap w:val="0"/>
            <w:vAlign w:val="top"/>
          </w:tcPr>
          <w:p w14:paraId="599D038D">
            <w:pPr>
              <w:spacing w:line="400" w:lineRule="exact"/>
              <w:jc w:val="center"/>
              <w:rPr>
                <w:rFonts w:hint="eastAsia" w:ascii="仿宋_GB2312" w:hAnsi="仿宋_GB2312" w:eastAsia="仿宋_GB2312" w:cs="仿宋_GB2312"/>
                <w:sz w:val="28"/>
              </w:rPr>
            </w:pPr>
          </w:p>
        </w:tc>
        <w:tc>
          <w:tcPr>
            <w:tcW w:w="811" w:type="dxa"/>
            <w:noWrap w:val="0"/>
            <w:vAlign w:val="top"/>
          </w:tcPr>
          <w:p w14:paraId="7D2CD5DF">
            <w:pPr>
              <w:spacing w:line="400" w:lineRule="exact"/>
              <w:jc w:val="center"/>
              <w:rPr>
                <w:rFonts w:hint="eastAsia" w:ascii="仿宋_GB2312" w:hAnsi="仿宋_GB2312" w:eastAsia="仿宋_GB2312" w:cs="仿宋_GB2312"/>
                <w:sz w:val="28"/>
              </w:rPr>
            </w:pPr>
          </w:p>
        </w:tc>
        <w:tc>
          <w:tcPr>
            <w:tcW w:w="811" w:type="dxa"/>
            <w:noWrap w:val="0"/>
            <w:vAlign w:val="top"/>
          </w:tcPr>
          <w:p w14:paraId="6AEAA52E">
            <w:pPr>
              <w:spacing w:line="400" w:lineRule="exact"/>
              <w:jc w:val="center"/>
              <w:rPr>
                <w:rFonts w:hint="eastAsia" w:ascii="仿宋_GB2312" w:hAnsi="仿宋_GB2312" w:eastAsia="仿宋_GB2312" w:cs="仿宋_GB2312"/>
                <w:sz w:val="28"/>
              </w:rPr>
            </w:pPr>
          </w:p>
        </w:tc>
        <w:tc>
          <w:tcPr>
            <w:tcW w:w="1057" w:type="dxa"/>
            <w:noWrap w:val="0"/>
            <w:vAlign w:val="top"/>
          </w:tcPr>
          <w:p w14:paraId="44444874">
            <w:pPr>
              <w:spacing w:line="400" w:lineRule="exact"/>
              <w:jc w:val="center"/>
              <w:rPr>
                <w:rFonts w:hint="eastAsia" w:ascii="仿宋_GB2312" w:hAnsi="仿宋_GB2312" w:eastAsia="仿宋_GB2312" w:cs="仿宋_GB2312"/>
                <w:sz w:val="28"/>
              </w:rPr>
            </w:pPr>
          </w:p>
        </w:tc>
        <w:tc>
          <w:tcPr>
            <w:tcW w:w="1589" w:type="dxa"/>
            <w:noWrap w:val="0"/>
            <w:vAlign w:val="top"/>
          </w:tcPr>
          <w:p w14:paraId="2B9EBCDC">
            <w:pPr>
              <w:spacing w:line="400" w:lineRule="exact"/>
              <w:jc w:val="center"/>
              <w:rPr>
                <w:rFonts w:hint="eastAsia" w:ascii="仿宋_GB2312" w:hAnsi="仿宋_GB2312" w:eastAsia="仿宋_GB2312" w:cs="仿宋_GB2312"/>
                <w:sz w:val="28"/>
              </w:rPr>
            </w:pPr>
          </w:p>
        </w:tc>
        <w:tc>
          <w:tcPr>
            <w:tcW w:w="1667" w:type="dxa"/>
            <w:noWrap w:val="0"/>
            <w:vAlign w:val="top"/>
          </w:tcPr>
          <w:p w14:paraId="5CC46CB1">
            <w:pPr>
              <w:spacing w:line="400" w:lineRule="exact"/>
              <w:jc w:val="center"/>
              <w:rPr>
                <w:rFonts w:hint="eastAsia" w:ascii="仿宋_GB2312" w:hAnsi="仿宋_GB2312" w:eastAsia="仿宋_GB2312" w:cs="仿宋_GB2312"/>
                <w:sz w:val="28"/>
              </w:rPr>
            </w:pPr>
          </w:p>
        </w:tc>
        <w:tc>
          <w:tcPr>
            <w:tcW w:w="1529" w:type="dxa"/>
            <w:noWrap w:val="0"/>
            <w:vAlign w:val="top"/>
          </w:tcPr>
          <w:p w14:paraId="551D75F2">
            <w:pPr>
              <w:spacing w:line="400" w:lineRule="exact"/>
              <w:jc w:val="center"/>
              <w:rPr>
                <w:rFonts w:hint="eastAsia" w:ascii="仿宋_GB2312" w:hAnsi="仿宋_GB2312" w:eastAsia="仿宋_GB2312" w:cs="仿宋_GB2312"/>
                <w:sz w:val="28"/>
              </w:rPr>
            </w:pPr>
          </w:p>
        </w:tc>
      </w:tr>
      <w:tr w14:paraId="76C7B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50A91400">
            <w:pPr>
              <w:spacing w:line="400" w:lineRule="exact"/>
              <w:jc w:val="center"/>
              <w:rPr>
                <w:rFonts w:hint="eastAsia" w:ascii="仿宋_GB2312" w:hAnsi="仿宋_GB2312" w:eastAsia="仿宋_GB2312" w:cs="仿宋_GB2312"/>
              </w:rPr>
            </w:pPr>
          </w:p>
        </w:tc>
        <w:tc>
          <w:tcPr>
            <w:tcW w:w="810" w:type="dxa"/>
            <w:noWrap w:val="0"/>
            <w:vAlign w:val="top"/>
          </w:tcPr>
          <w:p w14:paraId="2CB1032F">
            <w:pPr>
              <w:spacing w:line="400" w:lineRule="exact"/>
              <w:jc w:val="center"/>
              <w:rPr>
                <w:rFonts w:hint="eastAsia" w:ascii="仿宋_GB2312" w:hAnsi="仿宋_GB2312" w:eastAsia="仿宋_GB2312" w:cs="仿宋_GB2312"/>
                <w:sz w:val="28"/>
              </w:rPr>
            </w:pPr>
          </w:p>
        </w:tc>
        <w:tc>
          <w:tcPr>
            <w:tcW w:w="811" w:type="dxa"/>
            <w:noWrap w:val="0"/>
            <w:vAlign w:val="top"/>
          </w:tcPr>
          <w:p w14:paraId="60F1EE75">
            <w:pPr>
              <w:spacing w:line="400" w:lineRule="exact"/>
              <w:jc w:val="center"/>
              <w:rPr>
                <w:rFonts w:hint="eastAsia" w:ascii="仿宋_GB2312" w:hAnsi="仿宋_GB2312" w:eastAsia="仿宋_GB2312" w:cs="仿宋_GB2312"/>
                <w:sz w:val="28"/>
              </w:rPr>
            </w:pPr>
          </w:p>
        </w:tc>
        <w:tc>
          <w:tcPr>
            <w:tcW w:w="811" w:type="dxa"/>
            <w:noWrap w:val="0"/>
            <w:vAlign w:val="top"/>
          </w:tcPr>
          <w:p w14:paraId="2ECC0008">
            <w:pPr>
              <w:spacing w:line="400" w:lineRule="exact"/>
              <w:jc w:val="center"/>
              <w:rPr>
                <w:rFonts w:hint="eastAsia" w:ascii="仿宋_GB2312" w:hAnsi="仿宋_GB2312" w:eastAsia="仿宋_GB2312" w:cs="仿宋_GB2312"/>
                <w:sz w:val="28"/>
              </w:rPr>
            </w:pPr>
          </w:p>
        </w:tc>
        <w:tc>
          <w:tcPr>
            <w:tcW w:w="811" w:type="dxa"/>
            <w:noWrap w:val="0"/>
            <w:vAlign w:val="top"/>
          </w:tcPr>
          <w:p w14:paraId="1650E439">
            <w:pPr>
              <w:spacing w:line="400" w:lineRule="exact"/>
              <w:jc w:val="center"/>
              <w:rPr>
                <w:rFonts w:hint="eastAsia" w:ascii="仿宋_GB2312" w:hAnsi="仿宋_GB2312" w:eastAsia="仿宋_GB2312" w:cs="仿宋_GB2312"/>
                <w:sz w:val="28"/>
              </w:rPr>
            </w:pPr>
          </w:p>
        </w:tc>
        <w:tc>
          <w:tcPr>
            <w:tcW w:w="1057" w:type="dxa"/>
            <w:noWrap w:val="0"/>
            <w:vAlign w:val="top"/>
          </w:tcPr>
          <w:p w14:paraId="5DCB6D67">
            <w:pPr>
              <w:spacing w:line="400" w:lineRule="exact"/>
              <w:jc w:val="center"/>
              <w:rPr>
                <w:rFonts w:hint="eastAsia" w:ascii="仿宋_GB2312" w:hAnsi="仿宋_GB2312" w:eastAsia="仿宋_GB2312" w:cs="仿宋_GB2312"/>
                <w:sz w:val="28"/>
              </w:rPr>
            </w:pPr>
          </w:p>
        </w:tc>
        <w:tc>
          <w:tcPr>
            <w:tcW w:w="1589" w:type="dxa"/>
            <w:noWrap w:val="0"/>
            <w:vAlign w:val="top"/>
          </w:tcPr>
          <w:p w14:paraId="5577C8FC">
            <w:pPr>
              <w:spacing w:line="400" w:lineRule="exact"/>
              <w:jc w:val="center"/>
              <w:rPr>
                <w:rFonts w:hint="eastAsia" w:ascii="仿宋_GB2312" w:hAnsi="仿宋_GB2312" w:eastAsia="仿宋_GB2312" w:cs="仿宋_GB2312"/>
                <w:sz w:val="28"/>
              </w:rPr>
            </w:pPr>
          </w:p>
        </w:tc>
        <w:tc>
          <w:tcPr>
            <w:tcW w:w="1667" w:type="dxa"/>
            <w:noWrap w:val="0"/>
            <w:vAlign w:val="top"/>
          </w:tcPr>
          <w:p w14:paraId="1053E207">
            <w:pPr>
              <w:spacing w:line="400" w:lineRule="exact"/>
              <w:jc w:val="center"/>
              <w:rPr>
                <w:rFonts w:hint="eastAsia" w:ascii="仿宋_GB2312" w:hAnsi="仿宋_GB2312" w:eastAsia="仿宋_GB2312" w:cs="仿宋_GB2312"/>
                <w:sz w:val="28"/>
              </w:rPr>
            </w:pPr>
          </w:p>
        </w:tc>
        <w:tc>
          <w:tcPr>
            <w:tcW w:w="1529" w:type="dxa"/>
            <w:noWrap w:val="0"/>
            <w:vAlign w:val="top"/>
          </w:tcPr>
          <w:p w14:paraId="04F0F61C">
            <w:pPr>
              <w:spacing w:line="400" w:lineRule="exact"/>
              <w:jc w:val="center"/>
              <w:rPr>
                <w:rFonts w:hint="eastAsia" w:ascii="仿宋_GB2312" w:hAnsi="仿宋_GB2312" w:eastAsia="仿宋_GB2312" w:cs="仿宋_GB2312"/>
                <w:sz w:val="28"/>
              </w:rPr>
            </w:pPr>
          </w:p>
        </w:tc>
      </w:tr>
      <w:tr w14:paraId="3D387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20E8F3F3">
            <w:pPr>
              <w:spacing w:line="400" w:lineRule="exact"/>
              <w:jc w:val="center"/>
              <w:rPr>
                <w:rFonts w:hint="eastAsia" w:ascii="仿宋_GB2312" w:hAnsi="仿宋_GB2312" w:eastAsia="仿宋_GB2312" w:cs="仿宋_GB2312"/>
              </w:rPr>
            </w:pPr>
          </w:p>
        </w:tc>
        <w:tc>
          <w:tcPr>
            <w:tcW w:w="810" w:type="dxa"/>
            <w:noWrap w:val="0"/>
            <w:vAlign w:val="top"/>
          </w:tcPr>
          <w:p w14:paraId="5666ADD7">
            <w:pPr>
              <w:spacing w:line="400" w:lineRule="exact"/>
              <w:jc w:val="center"/>
              <w:rPr>
                <w:rFonts w:hint="eastAsia" w:ascii="仿宋_GB2312" w:hAnsi="仿宋_GB2312" w:eastAsia="仿宋_GB2312" w:cs="仿宋_GB2312"/>
                <w:sz w:val="28"/>
              </w:rPr>
            </w:pPr>
          </w:p>
        </w:tc>
        <w:tc>
          <w:tcPr>
            <w:tcW w:w="811" w:type="dxa"/>
            <w:noWrap w:val="0"/>
            <w:vAlign w:val="top"/>
          </w:tcPr>
          <w:p w14:paraId="080B82B2">
            <w:pPr>
              <w:spacing w:line="400" w:lineRule="exact"/>
              <w:jc w:val="center"/>
              <w:rPr>
                <w:rFonts w:hint="eastAsia" w:ascii="仿宋_GB2312" w:hAnsi="仿宋_GB2312" w:eastAsia="仿宋_GB2312" w:cs="仿宋_GB2312"/>
                <w:sz w:val="28"/>
              </w:rPr>
            </w:pPr>
          </w:p>
        </w:tc>
        <w:tc>
          <w:tcPr>
            <w:tcW w:w="811" w:type="dxa"/>
            <w:noWrap w:val="0"/>
            <w:vAlign w:val="top"/>
          </w:tcPr>
          <w:p w14:paraId="21186A13">
            <w:pPr>
              <w:spacing w:line="400" w:lineRule="exact"/>
              <w:jc w:val="center"/>
              <w:rPr>
                <w:rFonts w:hint="eastAsia" w:ascii="仿宋_GB2312" w:hAnsi="仿宋_GB2312" w:eastAsia="仿宋_GB2312" w:cs="仿宋_GB2312"/>
                <w:sz w:val="28"/>
              </w:rPr>
            </w:pPr>
          </w:p>
        </w:tc>
        <w:tc>
          <w:tcPr>
            <w:tcW w:w="811" w:type="dxa"/>
            <w:noWrap w:val="0"/>
            <w:vAlign w:val="top"/>
          </w:tcPr>
          <w:p w14:paraId="03FDC828">
            <w:pPr>
              <w:spacing w:line="400" w:lineRule="exact"/>
              <w:jc w:val="center"/>
              <w:rPr>
                <w:rFonts w:hint="eastAsia" w:ascii="仿宋_GB2312" w:hAnsi="仿宋_GB2312" w:eastAsia="仿宋_GB2312" w:cs="仿宋_GB2312"/>
                <w:sz w:val="28"/>
              </w:rPr>
            </w:pPr>
          </w:p>
        </w:tc>
        <w:tc>
          <w:tcPr>
            <w:tcW w:w="1057" w:type="dxa"/>
            <w:noWrap w:val="0"/>
            <w:vAlign w:val="top"/>
          </w:tcPr>
          <w:p w14:paraId="4B2A96A7">
            <w:pPr>
              <w:spacing w:line="400" w:lineRule="exact"/>
              <w:jc w:val="center"/>
              <w:rPr>
                <w:rFonts w:hint="eastAsia" w:ascii="仿宋_GB2312" w:hAnsi="仿宋_GB2312" w:eastAsia="仿宋_GB2312" w:cs="仿宋_GB2312"/>
                <w:sz w:val="28"/>
              </w:rPr>
            </w:pPr>
          </w:p>
        </w:tc>
        <w:tc>
          <w:tcPr>
            <w:tcW w:w="1589" w:type="dxa"/>
            <w:noWrap w:val="0"/>
            <w:vAlign w:val="top"/>
          </w:tcPr>
          <w:p w14:paraId="1B551B74">
            <w:pPr>
              <w:spacing w:line="400" w:lineRule="exact"/>
              <w:jc w:val="center"/>
              <w:rPr>
                <w:rFonts w:hint="eastAsia" w:ascii="仿宋_GB2312" w:hAnsi="仿宋_GB2312" w:eastAsia="仿宋_GB2312" w:cs="仿宋_GB2312"/>
                <w:sz w:val="28"/>
              </w:rPr>
            </w:pPr>
          </w:p>
        </w:tc>
        <w:tc>
          <w:tcPr>
            <w:tcW w:w="1667" w:type="dxa"/>
            <w:noWrap w:val="0"/>
            <w:vAlign w:val="top"/>
          </w:tcPr>
          <w:p w14:paraId="09651642">
            <w:pPr>
              <w:spacing w:line="400" w:lineRule="exact"/>
              <w:jc w:val="center"/>
              <w:rPr>
                <w:rFonts w:hint="eastAsia" w:ascii="仿宋_GB2312" w:hAnsi="仿宋_GB2312" w:eastAsia="仿宋_GB2312" w:cs="仿宋_GB2312"/>
                <w:sz w:val="28"/>
              </w:rPr>
            </w:pPr>
          </w:p>
        </w:tc>
        <w:tc>
          <w:tcPr>
            <w:tcW w:w="1529" w:type="dxa"/>
            <w:noWrap w:val="0"/>
            <w:vAlign w:val="top"/>
          </w:tcPr>
          <w:p w14:paraId="6CF0E690">
            <w:pPr>
              <w:spacing w:line="400" w:lineRule="exact"/>
              <w:jc w:val="center"/>
              <w:rPr>
                <w:rFonts w:hint="eastAsia" w:ascii="仿宋_GB2312" w:hAnsi="仿宋_GB2312" w:eastAsia="仿宋_GB2312" w:cs="仿宋_GB2312"/>
                <w:sz w:val="28"/>
              </w:rPr>
            </w:pPr>
          </w:p>
        </w:tc>
      </w:tr>
    </w:tbl>
    <w:p w14:paraId="79F8C556">
      <w:pPr>
        <w:spacing w:line="400" w:lineRule="exact"/>
        <w:jc w:val="center"/>
        <w:rPr>
          <w:rFonts w:ascii="仿宋" w:hAnsi="仿宋" w:eastAsia="仿宋" w:cs="Arial"/>
          <w:b/>
          <w:bCs/>
          <w:sz w:val="28"/>
        </w:rPr>
      </w:pPr>
    </w:p>
    <w:p w14:paraId="51BD8223">
      <w:pPr>
        <w:spacing w:line="400" w:lineRule="exact"/>
        <w:jc w:val="center"/>
        <w:rPr>
          <w:rFonts w:ascii="仿宋" w:hAnsi="仿宋" w:eastAsia="仿宋" w:cs="Arial"/>
          <w:b/>
          <w:bCs/>
          <w:sz w:val="28"/>
        </w:rPr>
      </w:pPr>
    </w:p>
    <w:p w14:paraId="6F17A813">
      <w:pPr>
        <w:spacing w:line="400" w:lineRule="exact"/>
        <w:jc w:val="center"/>
        <w:rPr>
          <w:rFonts w:ascii="仿宋" w:hAnsi="仿宋" w:eastAsia="仿宋" w:cs="Arial"/>
          <w:b/>
          <w:bCs/>
          <w:sz w:val="28"/>
        </w:rPr>
      </w:pPr>
    </w:p>
    <w:p w14:paraId="2AF7B85F">
      <w:pPr>
        <w:spacing w:line="400" w:lineRule="exact"/>
        <w:jc w:val="center"/>
        <w:rPr>
          <w:rFonts w:ascii="仿宋" w:hAnsi="仿宋" w:eastAsia="仿宋" w:cs="Arial"/>
          <w:b/>
          <w:bCs/>
          <w:sz w:val="28"/>
        </w:rPr>
      </w:pPr>
    </w:p>
    <w:p w14:paraId="51AD6D4C">
      <w:pPr>
        <w:spacing w:line="400" w:lineRule="exact"/>
        <w:jc w:val="center"/>
        <w:rPr>
          <w:rFonts w:ascii="仿宋" w:hAnsi="仿宋" w:eastAsia="仿宋" w:cs="Arial"/>
          <w:b/>
          <w:bCs/>
          <w:sz w:val="28"/>
        </w:rPr>
      </w:pPr>
    </w:p>
    <w:p w14:paraId="4542E99F">
      <w:pPr>
        <w:adjustRightInd w:val="0"/>
        <w:spacing w:line="400" w:lineRule="exact"/>
        <w:ind w:firstLine="900" w:firstLineChars="375"/>
        <w:jc w:val="left"/>
        <w:rPr>
          <w:rFonts w:ascii="仿宋" w:hAnsi="仿宋" w:eastAsia="仿宋"/>
          <w:bCs/>
          <w:sz w:val="24"/>
        </w:rPr>
      </w:pPr>
      <w:r>
        <w:rPr>
          <w:rFonts w:hint="eastAsia" w:ascii="仿宋" w:hAnsi="仿宋" w:eastAsia="仿宋"/>
          <w:bCs/>
          <w:sz w:val="24"/>
          <w:lang w:eastAsia="zh-CN"/>
        </w:rPr>
        <w:t>投标人</w:t>
      </w:r>
      <w:r>
        <w:rPr>
          <w:rFonts w:hint="eastAsia" w:ascii="仿宋" w:hAnsi="仿宋" w:eastAsia="仿宋"/>
          <w:bCs/>
          <w:sz w:val="24"/>
        </w:rPr>
        <w:t>名称：        （盖章）</w:t>
      </w:r>
    </w:p>
    <w:p w14:paraId="01853FED">
      <w:pPr>
        <w:adjustRightInd w:val="0"/>
        <w:spacing w:line="400" w:lineRule="exact"/>
        <w:ind w:firstLine="900" w:firstLineChars="375"/>
        <w:jc w:val="left"/>
        <w:rPr>
          <w:rFonts w:ascii="仿宋" w:hAnsi="仿宋" w:eastAsia="仿宋"/>
          <w:bCs/>
          <w:sz w:val="24"/>
        </w:rPr>
      </w:pPr>
      <w:r>
        <w:rPr>
          <w:rFonts w:hint="eastAsia" w:ascii="仿宋" w:hAnsi="仿宋" w:eastAsia="仿宋"/>
          <w:sz w:val="24"/>
        </w:rPr>
        <w:t>法定代表人或授权代表（签字）</w:t>
      </w:r>
      <w:r>
        <w:rPr>
          <w:rFonts w:hint="eastAsia" w:ascii="仿宋" w:hAnsi="仿宋" w:eastAsia="仿宋"/>
          <w:bCs/>
          <w:sz w:val="24"/>
        </w:rPr>
        <w:t>：</w:t>
      </w:r>
    </w:p>
    <w:p w14:paraId="02BD650F">
      <w:pPr>
        <w:adjustRightInd w:val="0"/>
        <w:spacing w:line="400" w:lineRule="exact"/>
        <w:ind w:firstLine="900" w:firstLineChars="375"/>
        <w:jc w:val="left"/>
        <w:rPr>
          <w:rFonts w:hint="eastAsia" w:ascii="仿宋" w:hAnsi="仿宋" w:eastAsia="仿宋"/>
          <w:bCs/>
          <w:sz w:val="24"/>
        </w:rPr>
      </w:pPr>
      <w:r>
        <w:rPr>
          <w:rFonts w:hint="eastAsia" w:ascii="仿宋" w:hAnsi="仿宋" w:eastAsia="仿宋"/>
          <w:bCs/>
          <w:sz w:val="24"/>
        </w:rPr>
        <w:t>投标日期：</w:t>
      </w:r>
    </w:p>
    <w:p w14:paraId="3492E81E">
      <w:pPr>
        <w:rPr>
          <w:rFonts w:ascii="仿宋" w:hAnsi="仿宋" w:eastAsia="仿宋"/>
        </w:rPr>
      </w:pPr>
      <w:r>
        <w:rPr>
          <w:rFonts w:hint="eastAsia" w:ascii="仿宋" w:hAnsi="仿宋" w:eastAsia="仿宋"/>
          <w:bCs/>
          <w:sz w:val="24"/>
        </w:rPr>
        <w:br w:type="page"/>
      </w:r>
    </w:p>
    <w:p w14:paraId="49A27D08">
      <w:pPr>
        <w:rPr>
          <w:rFonts w:hint="eastAsia" w:ascii="Times New Roman" w:hAnsi="Times New Roman" w:eastAsia="仿宋_GB2312" w:cs="仿宋_GB2312"/>
          <w:color w:val="000000"/>
          <w:sz w:val="24"/>
          <w:szCs w:val="24"/>
          <w:highlight w:val="none"/>
          <w:lang w:val="en-US" w:eastAsia="zh-CN"/>
        </w:rPr>
      </w:pPr>
    </w:p>
    <w:bookmarkEnd w:id="6"/>
    <w:p w14:paraId="5B59659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eastAsia="仿宋_GB2312" w:cs="仿宋_GB2312"/>
          <w:b w:val="0"/>
          <w:bCs w:val="0"/>
          <w:color w:val="000000"/>
          <w:kern w:val="2"/>
          <w:sz w:val="32"/>
          <w:szCs w:val="32"/>
          <w:highlight w:val="none"/>
          <w:lang w:val="en-US" w:eastAsia="zh-CN" w:bidi="ar-SA"/>
        </w:rPr>
      </w:pPr>
      <w:bookmarkStart w:id="8" w:name="_Toc77767930"/>
      <w:bookmarkStart w:id="9" w:name="_Toc12479"/>
      <w:r>
        <w:rPr>
          <w:rFonts w:hint="eastAsia" w:ascii="Times New Roman" w:hAnsi="Times New Roman" w:eastAsia="仿宋_GB2312" w:cs="仿宋_GB2312"/>
          <w:b w:val="0"/>
          <w:bCs w:val="0"/>
          <w:color w:val="000000"/>
          <w:kern w:val="2"/>
          <w:sz w:val="32"/>
          <w:szCs w:val="32"/>
          <w:highlight w:val="none"/>
          <w:lang w:val="en-US" w:eastAsia="zh-CN" w:bidi="ar-SA"/>
        </w:rPr>
        <w:t>五、过往案例</w:t>
      </w:r>
    </w:p>
    <w:p w14:paraId="6F3369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提供近3年（自2022年起）与本次招标项目类似的股权转让资产评估案例，包括经厦门国资委审核的股权转让案例、非经厦门国资委审核的股权转让案例等。</w:t>
      </w:r>
    </w:p>
    <w:p w14:paraId="00C91ADB">
      <w:pPr>
        <w:pStyle w:val="4"/>
        <w:numPr>
          <w:ilvl w:val="0"/>
          <w:numId w:val="0"/>
        </w:numPr>
        <w:rPr>
          <w:rFonts w:hint="eastAsia" w:ascii="仿宋_GB2312" w:hAnsi="仿宋_GB2312" w:eastAsia="仿宋_GB2312" w:cs="仿宋_GB2312"/>
          <w:color w:val="auto"/>
          <w:sz w:val="24"/>
          <w:szCs w:val="24"/>
          <w:lang w:val="en-US" w:eastAsia="zh-CN"/>
        </w:rPr>
      </w:pPr>
    </w:p>
    <w:p w14:paraId="34B9CC3B">
      <w:pPr>
        <w:pStyle w:val="4"/>
        <w:numPr>
          <w:ilvl w:val="0"/>
          <w:numId w:val="0"/>
        </w:numPr>
        <w:rPr>
          <w:rFonts w:hint="eastAsia" w:ascii="仿宋_GB2312" w:hAnsi="仿宋_GB2312" w:eastAsia="仿宋_GB2312" w:cs="仿宋_GB2312"/>
          <w:color w:val="auto"/>
          <w:sz w:val="24"/>
          <w:szCs w:val="24"/>
          <w:lang w:val="en-US" w:eastAsia="zh-CN"/>
        </w:rPr>
      </w:pPr>
    </w:p>
    <w:p w14:paraId="44BA2DB8">
      <w:pPr>
        <w:rPr>
          <w:rFonts w:hint="eastAsia" w:ascii="仿宋_GB2312" w:hAnsi="仿宋_GB2312" w:eastAsia="仿宋_GB2312" w:cs="仿宋_GB2312"/>
          <w:color w:val="FF0000"/>
          <w:sz w:val="24"/>
          <w:szCs w:val="24"/>
          <w:lang w:val="en-US" w:eastAsia="zh-CN"/>
        </w:rPr>
      </w:pPr>
      <w:r>
        <w:rPr>
          <w:rFonts w:hint="eastAsia" w:ascii="仿宋_GB2312" w:hAnsi="仿宋_GB2312" w:eastAsia="仿宋_GB2312" w:cs="仿宋_GB2312"/>
          <w:color w:val="auto"/>
          <w:sz w:val="24"/>
          <w:szCs w:val="24"/>
          <w:lang w:val="en-US" w:eastAsia="zh-CN"/>
        </w:rPr>
        <w:br w:type="page"/>
      </w:r>
    </w:p>
    <w:p w14:paraId="1639124B">
      <w:pPr>
        <w:pStyle w:val="4"/>
        <w:numPr>
          <w:ilvl w:val="0"/>
          <w:numId w:val="0"/>
        </w:numPr>
        <w:rPr>
          <w:rFonts w:hint="eastAsia" w:ascii="仿宋_GB2312" w:hAnsi="仿宋_GB2312" w:eastAsia="仿宋_GB2312" w:cs="仿宋_GB2312"/>
          <w:color w:val="FF0000"/>
          <w:sz w:val="24"/>
          <w:szCs w:val="24"/>
          <w:lang w:val="en-US" w:eastAsia="zh-CN"/>
        </w:rPr>
      </w:pPr>
    </w:p>
    <w:p w14:paraId="799D187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仿宋_GB2312" w:cs="仿宋_GB2312"/>
          <w:b w:val="0"/>
          <w:bCs w:val="0"/>
          <w:color w:val="000000"/>
          <w:kern w:val="2"/>
          <w:sz w:val="32"/>
          <w:szCs w:val="32"/>
          <w:highlight w:val="none"/>
          <w:lang w:val="en-US" w:eastAsia="zh-CN" w:bidi="ar-SA"/>
        </w:rPr>
      </w:pPr>
      <w:r>
        <w:rPr>
          <w:rFonts w:hint="eastAsia" w:ascii="Times New Roman" w:hAnsi="Times New Roman" w:eastAsia="仿宋_GB2312" w:cs="仿宋_GB2312"/>
          <w:b w:val="0"/>
          <w:bCs w:val="0"/>
          <w:color w:val="000000"/>
          <w:kern w:val="2"/>
          <w:sz w:val="32"/>
          <w:szCs w:val="32"/>
          <w:highlight w:val="none"/>
          <w:lang w:val="en-US" w:eastAsia="zh-CN" w:bidi="ar-SA"/>
        </w:rPr>
        <w:t>六、其他文件</w:t>
      </w:r>
    </w:p>
    <w:p w14:paraId="1F4CA5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服务方案。针对本项目拟定的评估工作方案、工作计划、时间进度表、项目团队组成及成员介绍等（突出相关经验）（格式自拟）</w:t>
      </w:r>
    </w:p>
    <w:p w14:paraId="2E6DB9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内审机制。投标人内部建立规范的审核机制（制度文件或相关书面证明）</w:t>
      </w:r>
    </w:p>
    <w:p w14:paraId="2C67A745">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p>
    <w:p w14:paraId="1FBEB442">
      <w:pPr>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b/>
          <w:bCs/>
          <w:color w:val="000000"/>
          <w:sz w:val="36"/>
          <w:szCs w:val="36"/>
          <w:highlight w:val="none"/>
          <w:lang w:val="en-US" w:eastAsia="zh-CN"/>
        </w:rPr>
        <w:br w:type="page"/>
      </w:r>
    </w:p>
    <w:p w14:paraId="33CA697C">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default" w:ascii="Times New Roman" w:hAnsi="Times New Roman" w:eastAsia="仿宋_GB2312" w:cs="仿宋_GB2312"/>
          <w:b/>
          <w:bCs/>
          <w:color w:val="000000"/>
          <w:sz w:val="36"/>
          <w:szCs w:val="36"/>
          <w:highlight w:val="none"/>
          <w:lang w:val="en-US" w:eastAsia="zh-CN"/>
        </w:rPr>
      </w:pPr>
      <w:bookmarkStart w:id="10" w:name="_Toc11685"/>
      <w:bookmarkStart w:id="11" w:name="_Toc18401"/>
      <w:r>
        <w:rPr>
          <w:rFonts w:hint="eastAsia" w:ascii="Times New Roman" w:hAnsi="Times New Roman" w:eastAsia="仿宋_GB2312" w:cs="仿宋_GB2312"/>
          <w:b/>
          <w:bCs/>
          <w:color w:val="000000"/>
          <w:sz w:val="36"/>
          <w:szCs w:val="36"/>
          <w:highlight w:val="none"/>
          <w:lang w:val="en-US" w:eastAsia="zh-CN"/>
        </w:rPr>
        <w:t>第三章 资格文件</w:t>
      </w:r>
      <w:bookmarkEnd w:id="10"/>
      <w:bookmarkEnd w:id="11"/>
    </w:p>
    <w:p w14:paraId="2AF9E46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投标人参加本次投标必须提供以下资格证明文件：</w:t>
      </w:r>
    </w:p>
    <w:p w14:paraId="261A203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1、投标人营业执照及具有相应执业资格（提供证明材料复印件）；</w:t>
      </w:r>
    </w:p>
    <w:p w14:paraId="1B42844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2、合法经营、依法执业，遵守法律法规、执业道德和执业准则，有良好社会信誉；（提供承诺函，格式自拟）</w:t>
      </w:r>
    </w:p>
    <w:p w14:paraId="32D127CB">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3、近三年在经营活动中未有重大违法记录的声明；（提供承诺函，格式自拟）</w:t>
      </w:r>
    </w:p>
    <w:p w14:paraId="30C3A04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4、授权代表的身份证复印件。</w:t>
      </w:r>
    </w:p>
    <w:p w14:paraId="3F4C31B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eastAsia" w:ascii="Times New Roman" w:hAnsi="Times New Roman" w:eastAsia="仿宋_GB2312" w:cs="仿宋_GB2312"/>
          <w:b/>
          <w:bCs/>
          <w:color w:val="000000"/>
          <w:sz w:val="24"/>
          <w:szCs w:val="24"/>
          <w:highlight w:val="none"/>
          <w:lang w:val="en-US" w:eastAsia="zh-CN"/>
        </w:rPr>
        <w:t>以上要求投标人提供的资格证明文件复印件必须加盖投标人印章（鲜章）</w:t>
      </w:r>
    </w:p>
    <w:p w14:paraId="0FA8136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265946A0">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default" w:ascii="Times New Roman" w:hAnsi="Times New Roman" w:eastAsia="仿宋_GB2312" w:cs="仿宋_GB2312"/>
          <w:b/>
          <w:bCs/>
          <w:color w:val="000000"/>
          <w:sz w:val="36"/>
          <w:szCs w:val="36"/>
          <w:highlight w:val="none"/>
          <w:lang w:val="en-US" w:eastAsia="zh-CN"/>
        </w:rPr>
      </w:pPr>
      <w:bookmarkStart w:id="12" w:name="_Toc19389"/>
      <w:bookmarkStart w:id="13" w:name="_Toc9625"/>
      <w:r>
        <w:rPr>
          <w:rFonts w:hint="eastAsia" w:ascii="Times New Roman" w:hAnsi="Times New Roman" w:eastAsia="仿宋_GB2312" w:cs="仿宋_GB2312"/>
          <w:b/>
          <w:bCs/>
          <w:color w:val="000000"/>
          <w:sz w:val="36"/>
          <w:szCs w:val="36"/>
          <w:highlight w:val="none"/>
          <w:lang w:val="en-US" w:eastAsia="zh-CN"/>
        </w:rPr>
        <w:t>第四章 项目及要求</w:t>
      </w:r>
      <w:bookmarkEnd w:id="12"/>
      <w:bookmarkEnd w:id="13"/>
    </w:p>
    <w:p w14:paraId="14DC6F5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32"/>
          <w:szCs w:val="32"/>
          <w:highlight w:val="none"/>
          <w:lang w:val="en-US" w:eastAsia="zh-CN"/>
        </w:rPr>
      </w:pPr>
      <w:r>
        <w:rPr>
          <w:rFonts w:hint="eastAsia" w:ascii="Times New Roman" w:hAnsi="Times New Roman" w:eastAsia="仿宋_GB2312" w:cs="仿宋_GB2312"/>
          <w:b/>
          <w:bCs/>
          <w:color w:val="000000"/>
          <w:sz w:val="32"/>
          <w:szCs w:val="32"/>
          <w:highlight w:val="none"/>
          <w:lang w:val="en-US" w:eastAsia="zh-CN"/>
        </w:rPr>
        <w:t>一、项目概述：</w:t>
      </w:r>
    </w:p>
    <w:p w14:paraId="2B0118F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为提升厦门科技产业化集团有限公司服务科创产业能力，增强企业科技竞争力，拟收购某信息技术企业部分股权，并实现控股。本项目的实施有益于提升集团的信息化服务水平。</w:t>
      </w:r>
    </w:p>
    <w:p w14:paraId="6762FDE7">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标的企业</w:t>
      </w:r>
      <w:r>
        <w:rPr>
          <w:rFonts w:hint="default" w:ascii="Times New Roman" w:hAnsi="Times New Roman" w:eastAsia="仿宋_GB2312" w:cs="仿宋_GB2312"/>
          <w:color w:val="000000"/>
          <w:sz w:val="24"/>
          <w:szCs w:val="24"/>
          <w:highlight w:val="none"/>
          <w:lang w:val="en-US" w:eastAsia="zh-CN"/>
        </w:rPr>
        <w:t>主要从事烟草行业信息化建设，是烟草行业应用最广泛、服务经验最丰富且具备农、工、商、政全产业链解决方案输出能力的国家级高新技术企业。</w:t>
      </w:r>
      <w:r>
        <w:rPr>
          <w:rFonts w:hint="eastAsia" w:ascii="Times New Roman" w:hAnsi="Times New Roman" w:eastAsia="仿宋_GB2312" w:cs="仿宋_GB2312"/>
          <w:color w:val="000000"/>
          <w:sz w:val="24"/>
          <w:szCs w:val="24"/>
          <w:highlight w:val="none"/>
          <w:lang w:val="en-US" w:eastAsia="zh-CN"/>
        </w:rPr>
        <w:t>截至2024年末，总资产3.48亿元，总负债2.19亿元，资产负债率63.1%，净资产1.284亿元。2024年，营收2.95亿元，净利润1008万元，营业毛利率26.9%，研发费用2149万元。</w:t>
      </w:r>
    </w:p>
    <w:p w14:paraId="4635C06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为推动实施收购某信息技术企业股权尽职调查事项相关工作，现需选聘1家评估中介机构开展专项资产评估工作，出具资产评估报告。</w:t>
      </w:r>
    </w:p>
    <w:p w14:paraId="75AA5EC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b/>
          <w:bCs/>
          <w:color w:val="000000"/>
          <w:sz w:val="32"/>
          <w:szCs w:val="32"/>
          <w:highlight w:val="none"/>
          <w:lang w:val="en-US" w:eastAsia="zh-CN"/>
        </w:rPr>
        <w:t>二、商务要求：</w:t>
      </w:r>
    </w:p>
    <w:p w14:paraId="7506D8D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1、完成时间及项目实施地点</w:t>
      </w:r>
    </w:p>
    <w:p w14:paraId="1277595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1.1完成时间：采购方规定时间。</w:t>
      </w:r>
    </w:p>
    <w:p w14:paraId="3DD4836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1.2 项目实施地点：采购方指定地点。</w:t>
      </w:r>
    </w:p>
    <w:p w14:paraId="015B2DC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2、付款方法和条件：按合同约定。</w:t>
      </w:r>
    </w:p>
    <w:p w14:paraId="7186B0EE">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32"/>
          <w:szCs w:val="32"/>
          <w:highlight w:val="none"/>
          <w:lang w:val="en-US" w:eastAsia="zh-CN"/>
        </w:rPr>
      </w:pPr>
      <w:r>
        <w:rPr>
          <w:rFonts w:hint="eastAsia" w:ascii="Times New Roman" w:hAnsi="Times New Roman" w:eastAsia="仿宋_GB2312" w:cs="仿宋_GB2312"/>
          <w:b/>
          <w:bCs/>
          <w:color w:val="000000"/>
          <w:sz w:val="32"/>
          <w:szCs w:val="32"/>
          <w:highlight w:val="none"/>
          <w:lang w:val="en-US" w:eastAsia="zh-CN"/>
        </w:rPr>
        <w:t>三、服务要求：</w:t>
      </w:r>
    </w:p>
    <w:p w14:paraId="5CC8D47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b/>
          <w:bCs/>
          <w:color w:val="000000"/>
          <w:sz w:val="24"/>
          <w:szCs w:val="24"/>
          <w:highlight w:val="none"/>
          <w:lang w:val="en-US" w:eastAsia="zh-CN"/>
        </w:rPr>
      </w:pPr>
      <w:r>
        <w:rPr>
          <w:rFonts w:hint="default" w:ascii="Times New Roman" w:hAnsi="Times New Roman" w:eastAsia="仿宋_GB2312" w:cs="仿宋_GB2312"/>
          <w:b/>
          <w:bCs/>
          <w:color w:val="000000"/>
          <w:sz w:val="24"/>
          <w:szCs w:val="24"/>
          <w:highlight w:val="none"/>
          <w:lang w:val="en-US" w:eastAsia="zh-CN"/>
        </w:rPr>
        <w:t>（一）服务范围</w:t>
      </w:r>
    </w:p>
    <w:p w14:paraId="20A5295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w:t>
      </w:r>
      <w:r>
        <w:rPr>
          <w:rFonts w:hint="default" w:ascii="Times New Roman" w:hAnsi="Times New Roman" w:eastAsia="仿宋_GB2312" w:cs="仿宋_GB2312"/>
          <w:color w:val="000000"/>
          <w:sz w:val="24"/>
          <w:szCs w:val="24"/>
          <w:highlight w:val="none"/>
          <w:lang w:val="en-US" w:eastAsia="zh-CN"/>
        </w:rPr>
        <w:t>基于</w:t>
      </w:r>
      <w:r>
        <w:rPr>
          <w:rFonts w:hint="eastAsia" w:ascii="Times New Roman" w:hAnsi="Times New Roman" w:eastAsia="仿宋_GB2312" w:cs="仿宋_GB2312"/>
          <w:color w:val="000000"/>
          <w:sz w:val="24"/>
          <w:szCs w:val="24"/>
          <w:highlight w:val="none"/>
          <w:lang w:val="en-US" w:eastAsia="zh-CN"/>
        </w:rPr>
        <w:t>科技集团收购</w:t>
      </w:r>
      <w:r>
        <w:rPr>
          <w:rFonts w:hint="default" w:ascii="Times New Roman" w:hAnsi="Times New Roman" w:eastAsia="仿宋_GB2312" w:cs="仿宋_GB2312"/>
          <w:color w:val="000000"/>
          <w:sz w:val="24"/>
          <w:szCs w:val="24"/>
          <w:highlight w:val="none"/>
          <w:lang w:val="en-US" w:eastAsia="zh-CN"/>
        </w:rPr>
        <w:t>某</w:t>
      </w:r>
      <w:r>
        <w:rPr>
          <w:rFonts w:hint="eastAsia" w:ascii="Times New Roman" w:hAnsi="Times New Roman" w:eastAsia="仿宋_GB2312" w:cs="仿宋_GB2312"/>
          <w:color w:val="000000"/>
          <w:sz w:val="24"/>
          <w:szCs w:val="24"/>
          <w:highlight w:val="none"/>
          <w:lang w:val="en-US" w:eastAsia="zh-CN"/>
        </w:rPr>
        <w:t>信息技术企业股权</w:t>
      </w:r>
      <w:r>
        <w:rPr>
          <w:rFonts w:hint="default" w:ascii="Times New Roman" w:hAnsi="Times New Roman" w:eastAsia="仿宋_GB2312" w:cs="仿宋_GB2312"/>
          <w:color w:val="000000"/>
          <w:sz w:val="24"/>
          <w:szCs w:val="24"/>
          <w:highlight w:val="none"/>
          <w:lang w:val="en-US" w:eastAsia="zh-CN"/>
        </w:rPr>
        <w:t>项目的总体思路，通过资产基础法、收益法、市场法对标的公司进行股权价值评估，重点分析无形资产、负债及未来盈利能力。</w:t>
      </w:r>
    </w:p>
    <w:p w14:paraId="5921A1C3">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w:t>
      </w:r>
      <w:r>
        <w:rPr>
          <w:rFonts w:hint="default" w:ascii="Times New Roman" w:hAnsi="Times New Roman" w:eastAsia="仿宋_GB2312" w:cs="仿宋_GB2312"/>
          <w:color w:val="000000"/>
          <w:sz w:val="24"/>
          <w:szCs w:val="24"/>
          <w:highlight w:val="none"/>
          <w:lang w:val="en-US" w:eastAsia="zh-CN"/>
        </w:rPr>
        <w:t>验证</w:t>
      </w:r>
      <w:r>
        <w:rPr>
          <w:rFonts w:hint="eastAsia" w:ascii="Times New Roman" w:hAnsi="Times New Roman" w:eastAsia="仿宋_GB2312" w:cs="仿宋_GB2312"/>
          <w:color w:val="000000"/>
          <w:sz w:val="24"/>
          <w:szCs w:val="24"/>
          <w:highlight w:val="none"/>
          <w:lang w:val="en-US" w:eastAsia="zh-CN"/>
        </w:rPr>
        <w:t>标的企业</w:t>
      </w:r>
      <w:r>
        <w:rPr>
          <w:rFonts w:hint="default" w:ascii="Times New Roman" w:hAnsi="Times New Roman" w:eastAsia="仿宋_GB2312" w:cs="仿宋_GB2312"/>
          <w:color w:val="000000"/>
          <w:sz w:val="24"/>
          <w:szCs w:val="24"/>
          <w:highlight w:val="none"/>
          <w:lang w:val="en-US" w:eastAsia="zh-CN"/>
        </w:rPr>
        <w:t>财务报表真实性，审查税务合规性、或有负债及股权/资产权属瑕疵。</w:t>
      </w:r>
    </w:p>
    <w:p w14:paraId="4BF3246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3、给予项目</w:t>
      </w:r>
      <w:r>
        <w:rPr>
          <w:rFonts w:hint="default" w:ascii="Times New Roman" w:hAnsi="Times New Roman" w:eastAsia="仿宋_GB2312" w:cs="仿宋_GB2312"/>
          <w:color w:val="000000"/>
          <w:sz w:val="24"/>
          <w:szCs w:val="24"/>
          <w:highlight w:val="none"/>
          <w:lang w:val="en-US" w:eastAsia="zh-CN"/>
        </w:rPr>
        <w:t>交易结构优化建议</w:t>
      </w:r>
      <w:r>
        <w:rPr>
          <w:rFonts w:hint="eastAsia" w:ascii="Times New Roman" w:hAnsi="Times New Roman" w:eastAsia="仿宋_GB2312" w:cs="仿宋_GB2312"/>
          <w:color w:val="000000"/>
          <w:sz w:val="24"/>
          <w:szCs w:val="24"/>
          <w:highlight w:val="none"/>
          <w:lang w:val="en-US" w:eastAsia="zh-CN"/>
        </w:rPr>
        <w:t>，</w:t>
      </w:r>
      <w:r>
        <w:rPr>
          <w:rFonts w:hint="default" w:ascii="Times New Roman" w:hAnsi="Times New Roman" w:eastAsia="仿宋_GB2312" w:cs="仿宋_GB2312"/>
          <w:color w:val="000000"/>
          <w:sz w:val="24"/>
          <w:szCs w:val="24"/>
          <w:highlight w:val="none"/>
          <w:lang w:val="en-US" w:eastAsia="zh-CN"/>
        </w:rPr>
        <w:t>分析</w:t>
      </w:r>
      <w:r>
        <w:rPr>
          <w:rFonts w:hint="eastAsia" w:ascii="Times New Roman" w:hAnsi="Times New Roman" w:eastAsia="仿宋_GB2312" w:cs="仿宋_GB2312"/>
          <w:color w:val="000000"/>
          <w:sz w:val="24"/>
          <w:szCs w:val="24"/>
          <w:highlight w:val="none"/>
          <w:lang w:val="en-US" w:eastAsia="zh-CN"/>
        </w:rPr>
        <w:t>标的企业</w:t>
      </w:r>
      <w:r>
        <w:rPr>
          <w:rFonts w:hint="default" w:ascii="Times New Roman" w:hAnsi="Times New Roman" w:eastAsia="仿宋_GB2312" w:cs="仿宋_GB2312"/>
          <w:color w:val="000000"/>
          <w:sz w:val="24"/>
          <w:szCs w:val="24"/>
          <w:highlight w:val="none"/>
          <w:lang w:val="en-US" w:eastAsia="zh-CN"/>
        </w:rPr>
        <w:t>不同持股比例的价值差异，评估协同效应，提供不同支付方式的财务影响分析。</w:t>
      </w:r>
    </w:p>
    <w:p w14:paraId="12A828F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w:t>
      </w:r>
      <w:r>
        <w:rPr>
          <w:rFonts w:hint="default" w:ascii="Times New Roman" w:hAnsi="Times New Roman" w:eastAsia="仿宋_GB2312" w:cs="仿宋_GB2312"/>
          <w:color w:val="000000"/>
          <w:sz w:val="24"/>
          <w:szCs w:val="24"/>
          <w:highlight w:val="none"/>
          <w:lang w:val="en-US" w:eastAsia="zh-CN"/>
        </w:rPr>
        <w:t>确保</w:t>
      </w:r>
      <w:r>
        <w:rPr>
          <w:rFonts w:hint="eastAsia" w:ascii="Times New Roman" w:hAnsi="Times New Roman" w:eastAsia="仿宋_GB2312" w:cs="仿宋_GB2312"/>
          <w:color w:val="000000"/>
          <w:sz w:val="24"/>
          <w:szCs w:val="24"/>
          <w:highlight w:val="none"/>
          <w:lang w:val="en-US" w:eastAsia="zh-CN"/>
        </w:rPr>
        <w:t>项目</w:t>
      </w:r>
      <w:r>
        <w:rPr>
          <w:rFonts w:hint="default" w:ascii="Times New Roman" w:hAnsi="Times New Roman" w:eastAsia="仿宋_GB2312" w:cs="仿宋_GB2312"/>
          <w:color w:val="000000"/>
          <w:sz w:val="24"/>
          <w:szCs w:val="24"/>
          <w:highlight w:val="none"/>
          <w:lang w:val="en-US" w:eastAsia="zh-CN"/>
        </w:rPr>
        <w:t>评估符合国有资产交易监管要求，编制备案所需报告，提示关键风险及估值假设。</w:t>
      </w:r>
    </w:p>
    <w:p w14:paraId="0DB8DA0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b/>
          <w:bCs/>
          <w:color w:val="000000"/>
          <w:sz w:val="24"/>
          <w:szCs w:val="24"/>
          <w:highlight w:val="none"/>
          <w:lang w:val="en-US" w:eastAsia="zh-CN"/>
        </w:rPr>
      </w:pPr>
      <w:r>
        <w:rPr>
          <w:rFonts w:hint="default" w:ascii="Times New Roman" w:hAnsi="Times New Roman" w:eastAsia="仿宋_GB2312" w:cs="仿宋_GB2312"/>
          <w:b/>
          <w:bCs/>
          <w:color w:val="000000"/>
          <w:sz w:val="24"/>
          <w:szCs w:val="24"/>
          <w:highlight w:val="none"/>
          <w:lang w:val="en-US" w:eastAsia="zh-CN"/>
        </w:rPr>
        <w:t>（</w:t>
      </w:r>
      <w:r>
        <w:rPr>
          <w:rFonts w:hint="eastAsia" w:ascii="Times New Roman" w:hAnsi="Times New Roman" w:eastAsia="仿宋_GB2312" w:cs="仿宋_GB2312"/>
          <w:b/>
          <w:bCs/>
          <w:color w:val="000000"/>
          <w:sz w:val="24"/>
          <w:szCs w:val="24"/>
          <w:highlight w:val="none"/>
          <w:lang w:val="en-US" w:eastAsia="zh-CN"/>
        </w:rPr>
        <w:t>二</w:t>
      </w:r>
      <w:r>
        <w:rPr>
          <w:rFonts w:hint="default" w:ascii="Times New Roman" w:hAnsi="Times New Roman" w:eastAsia="仿宋_GB2312" w:cs="仿宋_GB2312"/>
          <w:b/>
          <w:bCs/>
          <w:color w:val="000000"/>
          <w:sz w:val="24"/>
          <w:szCs w:val="24"/>
          <w:highlight w:val="none"/>
          <w:lang w:val="en-US" w:eastAsia="zh-CN"/>
        </w:rPr>
        <w:t>）</w:t>
      </w:r>
      <w:r>
        <w:rPr>
          <w:rFonts w:hint="eastAsia" w:ascii="Times New Roman" w:hAnsi="Times New Roman" w:eastAsia="仿宋_GB2312" w:cs="仿宋_GB2312"/>
          <w:b/>
          <w:bCs/>
          <w:color w:val="000000"/>
          <w:sz w:val="24"/>
          <w:szCs w:val="24"/>
          <w:highlight w:val="none"/>
          <w:lang w:val="en-US" w:eastAsia="zh-CN"/>
        </w:rPr>
        <w:t>投标人应提供材料</w:t>
      </w:r>
    </w:p>
    <w:p w14:paraId="017F42C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1、第二章要求相关材料及中介机构的证照。包括《营业执照》等与原件一致的复印件。</w:t>
      </w:r>
    </w:p>
    <w:p w14:paraId="4E62FBB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2、基本情况介绍。包括机构规模、行业地位、内审机制介绍等。</w:t>
      </w:r>
    </w:p>
    <w:p w14:paraId="3B9550A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lang w:val="en-US" w:eastAsia="zh-CN"/>
        </w:rPr>
      </w:pPr>
      <w:r>
        <w:rPr>
          <w:rFonts w:hint="eastAsia" w:ascii="Times New Roman" w:hAnsi="Times New Roman" w:eastAsia="仿宋_GB2312" w:cs="仿宋_GB2312"/>
          <w:color w:val="000000"/>
          <w:sz w:val="24"/>
          <w:szCs w:val="24"/>
          <w:highlight w:val="none"/>
          <w:lang w:val="en-US" w:eastAsia="zh-CN"/>
        </w:rPr>
        <w:t>3、业绩案例情况。近三年（2022年7月至2025年7月），具有国有企业并购项目、与本次项目类似股权转让资产评估项目案例（需提供证明文件）。</w:t>
      </w:r>
    </w:p>
    <w:p w14:paraId="60946A2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4、项目团队情况。包括专业团队人员和拟派项目团队主要人员组成、简历介绍、团队成员持有相关执业资格证书、团队优势介绍等，项目负责人近三年承办国有企业并购项目服务业绩案例（</w:t>
      </w:r>
      <w:r>
        <w:rPr>
          <w:rFonts w:hint="eastAsia" w:ascii="仿宋" w:hAnsi="仿宋" w:eastAsia="仿宋"/>
          <w:color w:val="000000"/>
          <w:sz w:val="24"/>
        </w:rPr>
        <w:t>需提供证明文件</w:t>
      </w:r>
      <w:r>
        <w:rPr>
          <w:rFonts w:hint="eastAsia" w:ascii="仿宋" w:hAnsi="仿宋" w:eastAsia="仿宋"/>
          <w:color w:val="000000"/>
          <w:sz w:val="24"/>
          <w:lang w:eastAsia="zh-CN"/>
        </w:rPr>
        <w:t>）</w:t>
      </w:r>
      <w:r>
        <w:rPr>
          <w:rFonts w:hint="eastAsia" w:ascii="Times New Roman" w:hAnsi="Times New Roman" w:eastAsia="仿宋_GB2312" w:cs="仿宋_GB2312"/>
          <w:color w:val="000000"/>
          <w:sz w:val="24"/>
          <w:szCs w:val="24"/>
          <w:highlight w:val="none"/>
          <w:lang w:val="en-US" w:eastAsia="zh-CN"/>
        </w:rPr>
        <w:t>。</w:t>
      </w:r>
    </w:p>
    <w:p w14:paraId="661BC4F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5、本次评估业务方案。包括</w:t>
      </w:r>
      <w:r>
        <w:rPr>
          <w:rFonts w:hint="eastAsia" w:ascii="仿宋_GB2312" w:hAnsi="仿宋_GB2312" w:eastAsia="仿宋_GB2312" w:cs="仿宋_GB2312"/>
          <w:color w:val="auto"/>
          <w:kern w:val="0"/>
          <w:sz w:val="24"/>
          <w:szCs w:val="24"/>
          <w:lang w:bidi="ar"/>
        </w:rPr>
        <w:t>计划时间安排、资源配置、项目重难点分析</w:t>
      </w:r>
      <w:r>
        <w:rPr>
          <w:rFonts w:hint="eastAsia" w:ascii="仿宋_GB2312" w:hAnsi="仿宋_GB2312" w:eastAsia="仿宋_GB2312" w:cs="仿宋_GB2312"/>
          <w:color w:val="auto"/>
          <w:kern w:val="0"/>
          <w:sz w:val="24"/>
          <w:szCs w:val="24"/>
          <w:lang w:val="en-US" w:eastAsia="zh-CN" w:bidi="ar"/>
        </w:rPr>
        <w:t>等</w:t>
      </w:r>
      <w:r>
        <w:rPr>
          <w:rFonts w:hint="eastAsia" w:ascii="Times New Roman" w:hAnsi="Times New Roman" w:eastAsia="仿宋_GB2312" w:cs="仿宋_GB2312"/>
          <w:color w:val="000000"/>
          <w:sz w:val="24"/>
          <w:szCs w:val="24"/>
          <w:highlight w:val="none"/>
          <w:lang w:val="en-US" w:eastAsia="zh-CN"/>
        </w:rPr>
        <w:t>。</w:t>
      </w:r>
    </w:p>
    <w:p w14:paraId="2C2E733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6、收费报价。包括收取费用及支付方式，报价应为包干价，报价须为含税全包价（增值税专用发票）。</w:t>
      </w:r>
    </w:p>
    <w:p w14:paraId="622A2AB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7、承诺函。对本公司提供材料的真实性以及是否满足规定的服务范围和要求作出明确、具体的承诺；保密承诺。尤其对本项服务范围中特别说明事项予以承诺。</w:t>
      </w:r>
    </w:p>
    <w:p w14:paraId="09289CE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8、投标人认为应当提供的其他必要资料。</w:t>
      </w:r>
    </w:p>
    <w:p w14:paraId="52D3276D">
      <w:pPr>
        <w:rPr>
          <w:rFonts w:hint="eastAsia"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br w:type="page"/>
      </w:r>
    </w:p>
    <w:p w14:paraId="6DE21D2A">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bookmarkStart w:id="14" w:name="_Toc31807"/>
      <w:bookmarkStart w:id="15" w:name="_Toc6606"/>
      <w:r>
        <w:rPr>
          <w:rFonts w:hint="eastAsia" w:ascii="Times New Roman" w:hAnsi="Times New Roman" w:eastAsia="仿宋_GB2312" w:cs="仿宋_GB2312"/>
          <w:b/>
          <w:bCs/>
          <w:color w:val="000000"/>
          <w:sz w:val="36"/>
          <w:szCs w:val="36"/>
          <w:highlight w:val="none"/>
          <w:lang w:val="en-US" w:eastAsia="zh-CN"/>
        </w:rPr>
        <w:t>第五章 评标办法</w:t>
      </w:r>
      <w:bookmarkEnd w:id="14"/>
      <w:bookmarkEnd w:id="15"/>
    </w:p>
    <w:p w14:paraId="69C090E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评标细则和标准：</w:t>
      </w:r>
    </w:p>
    <w:p w14:paraId="37516AC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1、邀标单位成立选聘中介机构工作小组，并从中选择与本次选聘相关的不同部门不少于三人组成评标小组，负责对投标人及投标文件进行评审。</w:t>
      </w:r>
    </w:p>
    <w:p w14:paraId="6426799D">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2、本次选聘采取综合评分法，综合考量投标人在包括项目团队人员组成和执业经验、评估工作方案设计、资源配备、质量控制、费用报价等因素对邀标文件的响应程度。</w:t>
      </w:r>
    </w:p>
    <w:p w14:paraId="49D3F994">
      <w:pPr>
        <w:keepNext w:val="0"/>
        <w:keepLines w:val="0"/>
        <w:pageBreakBefore w:val="0"/>
        <w:widowControl w:val="0"/>
        <w:kinsoku/>
        <w:wordWrap/>
        <w:overflowPunct/>
        <w:topLinePunct w:val="0"/>
        <w:autoSpaceDE/>
        <w:autoSpaceDN/>
        <w:bidi w:val="0"/>
        <w:adjustRightInd/>
        <w:snapToGrid/>
        <w:spacing w:line="240" w:lineRule="auto"/>
        <w:ind w:firstLine="420" w:firstLineChars="0"/>
        <w:textAlignment w:val="auto"/>
        <w:rPr>
          <w:rFonts w:hint="default" w:ascii="Times New Roman" w:hAnsi="Times New Roman" w:eastAsia="仿宋_GB2312" w:cs="仿宋_GB2312"/>
          <w:color w:val="000000"/>
          <w:sz w:val="24"/>
          <w:szCs w:val="24"/>
          <w:highlight w:val="none"/>
          <w:lang w:val="en-US" w:eastAsia="zh-CN"/>
        </w:rPr>
      </w:pPr>
      <w:r>
        <w:rPr>
          <w:rFonts w:hint="eastAsia" w:ascii="Times New Roman" w:hAnsi="Times New Roman" w:eastAsia="仿宋_GB2312" w:cs="仿宋_GB2312"/>
          <w:color w:val="000000"/>
          <w:sz w:val="24"/>
          <w:szCs w:val="24"/>
          <w:highlight w:val="none"/>
          <w:lang w:val="en-US" w:eastAsia="zh-CN"/>
        </w:rPr>
        <w:t>3、综合评分明细表</w:t>
      </w:r>
    </w:p>
    <w:tbl>
      <w:tblPr>
        <w:tblStyle w:val="17"/>
        <w:tblW w:w="9939" w:type="dxa"/>
        <w:jc w:val="center"/>
        <w:tblLayout w:type="fixed"/>
        <w:tblCellMar>
          <w:top w:w="0" w:type="dxa"/>
          <w:left w:w="0" w:type="dxa"/>
          <w:bottom w:w="0" w:type="dxa"/>
          <w:right w:w="0" w:type="dxa"/>
        </w:tblCellMar>
      </w:tblPr>
      <w:tblGrid>
        <w:gridCol w:w="1306"/>
        <w:gridCol w:w="641"/>
        <w:gridCol w:w="7992"/>
      </w:tblGrid>
      <w:tr w14:paraId="190F33FE">
        <w:tblPrEx>
          <w:tblCellMar>
            <w:top w:w="0" w:type="dxa"/>
            <w:left w:w="0" w:type="dxa"/>
            <w:bottom w:w="0" w:type="dxa"/>
            <w:right w:w="0" w:type="dxa"/>
          </w:tblCellMar>
        </w:tblPrEx>
        <w:trPr>
          <w:trHeight w:val="923" w:hRule="atLeast"/>
          <w:jc w:val="center"/>
        </w:trPr>
        <w:tc>
          <w:tcPr>
            <w:tcW w:w="1306"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44369981">
            <w:pPr>
              <w:pageBreakBefore w:val="0"/>
              <w:widowControl/>
              <w:kinsoku/>
              <w:wordWrap/>
              <w:overflowPunct/>
              <w:topLinePunct w:val="0"/>
              <w:autoSpaceDE/>
              <w:autoSpaceDN/>
              <w:bidi w:val="0"/>
              <w:adjustRightInd/>
              <w:spacing w:line="240" w:lineRule="auto"/>
              <w:jc w:val="center"/>
              <w:textAlignment w:val="center"/>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kern w:val="0"/>
                <w:sz w:val="21"/>
                <w:szCs w:val="21"/>
                <w:lang w:val="en-US" w:eastAsia="zh-CN" w:bidi="ar"/>
              </w:rPr>
              <w:t>评分指标</w:t>
            </w:r>
          </w:p>
        </w:tc>
        <w:tc>
          <w:tcPr>
            <w:tcW w:w="641"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7DABD3A9">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分值</w:t>
            </w:r>
          </w:p>
        </w:tc>
        <w:tc>
          <w:tcPr>
            <w:tcW w:w="7992"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43E3E684">
            <w:pPr>
              <w:pageBreakBefore w:val="0"/>
              <w:widowControl/>
              <w:kinsoku/>
              <w:wordWrap/>
              <w:overflowPunct/>
              <w:topLinePunct w:val="0"/>
              <w:autoSpaceDE/>
              <w:autoSpaceDN/>
              <w:bidi w:val="0"/>
              <w:adjustRightInd/>
              <w:spacing w:line="240" w:lineRule="auto"/>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评分细则</w:t>
            </w:r>
          </w:p>
        </w:tc>
      </w:tr>
      <w:tr w14:paraId="0C06FD0B">
        <w:tblPrEx>
          <w:tblCellMar>
            <w:top w:w="0" w:type="dxa"/>
            <w:left w:w="0" w:type="dxa"/>
            <w:bottom w:w="0" w:type="dxa"/>
            <w:right w:w="0" w:type="dxa"/>
          </w:tblCellMar>
        </w:tblPrEx>
        <w:trPr>
          <w:trHeight w:val="1721" w:hRule="atLeast"/>
          <w:jc w:val="center"/>
        </w:trPr>
        <w:tc>
          <w:tcPr>
            <w:tcW w:w="1306"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774A492C">
            <w:pPr>
              <w:pageBreakBefore w:val="0"/>
              <w:widowControl/>
              <w:kinsoku/>
              <w:wordWrap/>
              <w:overflowPunct/>
              <w:topLinePunct w:val="0"/>
              <w:autoSpaceDE/>
              <w:autoSpaceDN/>
              <w:bidi w:val="0"/>
              <w:adjustRightInd/>
              <w:spacing w:line="240" w:lineRule="auto"/>
              <w:ind w:left="0" w:leftChars="0" w:firstLine="0" w:firstLineChars="0"/>
              <w:jc w:val="center"/>
              <w:textAlignment w:val="center"/>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专业团队</w:t>
            </w:r>
          </w:p>
        </w:tc>
        <w:tc>
          <w:tcPr>
            <w:tcW w:w="641"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77E61C22">
            <w:pPr>
              <w:pageBreakBefore w:val="0"/>
              <w:widowControl/>
              <w:kinsoku/>
              <w:wordWrap/>
              <w:overflowPunct/>
              <w:topLinePunct w:val="0"/>
              <w:autoSpaceDE/>
              <w:autoSpaceDN/>
              <w:bidi w:val="0"/>
              <w:adjustRightInd/>
              <w:spacing w:line="240" w:lineRule="auto"/>
              <w:ind w:left="0" w:leftChars="0" w:firstLine="0" w:firstLineChars="0"/>
              <w:jc w:val="center"/>
              <w:textAlignment w:val="center"/>
              <w:outlineLvl w:val="9"/>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20</w:t>
            </w:r>
          </w:p>
        </w:tc>
        <w:tc>
          <w:tcPr>
            <w:tcW w:w="7992" w:type="dxa"/>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14:paraId="73E090B7">
            <w:pPr>
              <w:pageBreakBefore w:val="0"/>
              <w:widowControl/>
              <w:kinsoku/>
              <w:wordWrap/>
              <w:overflowPunct/>
              <w:topLinePunct w:val="0"/>
              <w:autoSpaceDE/>
              <w:autoSpaceDN/>
              <w:bidi w:val="0"/>
              <w:adjustRightInd/>
              <w:spacing w:line="240" w:lineRule="auto"/>
              <w:ind w:left="0" w:leftChars="0" w:firstLine="0" w:firstLineChars="0"/>
              <w:textAlignment w:val="center"/>
              <w:outlineLvl w:val="9"/>
              <w:rPr>
                <w:rFonts w:hint="eastAsia" w:ascii="仿宋_GB2312" w:hAnsi="仿宋_GB2312" w:eastAsia="仿宋_GB2312" w:cs="仿宋_GB2312"/>
                <w:b/>
                <w:bCs/>
                <w:color w:val="auto"/>
                <w:sz w:val="21"/>
                <w:szCs w:val="21"/>
              </w:rPr>
            </w:pPr>
            <w:r>
              <w:rPr>
                <w:rFonts w:hint="eastAsia" w:ascii="仿宋_GB2312" w:hAnsi="仿宋_GB2312" w:eastAsia="仿宋_GB2312" w:cs="仿宋_GB2312"/>
                <w:color w:val="auto"/>
                <w:sz w:val="21"/>
                <w:szCs w:val="21"/>
              </w:rPr>
              <w:t>提供</w:t>
            </w:r>
            <w:r>
              <w:rPr>
                <w:rFonts w:hint="eastAsia" w:ascii="仿宋_GB2312" w:hAnsi="仿宋_GB2312" w:eastAsia="仿宋_GB2312" w:cs="仿宋_GB2312"/>
                <w:b/>
                <w:bCs/>
                <w:color w:val="auto"/>
                <w:sz w:val="21"/>
                <w:szCs w:val="21"/>
              </w:rPr>
              <w:t>专业团队评估师名单</w:t>
            </w:r>
            <w:r>
              <w:rPr>
                <w:rFonts w:hint="eastAsia" w:ascii="仿宋_GB2312" w:hAnsi="仿宋_GB2312" w:eastAsia="仿宋_GB2312" w:cs="仿宋_GB2312"/>
                <w:color w:val="auto"/>
                <w:sz w:val="21"/>
                <w:szCs w:val="21"/>
              </w:rPr>
              <w:t>及</w:t>
            </w:r>
            <w:r>
              <w:rPr>
                <w:rFonts w:hint="eastAsia" w:ascii="仿宋_GB2312" w:hAnsi="仿宋_GB2312" w:eastAsia="仿宋_GB2312" w:cs="仿宋_GB2312"/>
                <w:b/>
                <w:bCs/>
                <w:color w:val="auto"/>
                <w:sz w:val="21"/>
                <w:szCs w:val="21"/>
              </w:rPr>
              <w:t>项目派驻人员名单</w:t>
            </w:r>
            <w:r>
              <w:rPr>
                <w:rFonts w:hint="eastAsia" w:ascii="仿宋_GB2312" w:hAnsi="仿宋_GB2312" w:eastAsia="仿宋_GB2312" w:cs="仿宋_GB2312"/>
                <w:color w:val="auto"/>
                <w:sz w:val="21"/>
                <w:szCs w:val="21"/>
              </w:rPr>
              <w:t>。</w:t>
            </w:r>
          </w:p>
          <w:p w14:paraId="1F706FCB">
            <w:pPr>
              <w:pageBreakBefore w:val="0"/>
              <w:widowControl/>
              <w:kinsoku/>
              <w:wordWrap/>
              <w:overflowPunct/>
              <w:topLinePunct w:val="0"/>
              <w:autoSpaceDE/>
              <w:autoSpaceDN/>
              <w:bidi w:val="0"/>
              <w:adjustRightInd/>
              <w:spacing w:line="240" w:lineRule="auto"/>
              <w:ind w:left="0" w:leftChars="0" w:firstLine="211" w:firstLineChars="100"/>
              <w:textAlignment w:val="center"/>
              <w:outlineLvl w:val="9"/>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专业团队名单中</w:t>
            </w:r>
            <w:r>
              <w:rPr>
                <w:rFonts w:hint="eastAsia" w:ascii="仿宋_GB2312" w:hAnsi="仿宋_GB2312" w:eastAsia="仿宋_GB2312" w:cs="仿宋_GB2312"/>
                <w:color w:val="auto"/>
                <w:sz w:val="21"/>
                <w:szCs w:val="21"/>
              </w:rPr>
              <w:t>，若评估师执业年限在8年以上（含8年），每提供1名专职资产评估师得</w:t>
            </w: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分；若评估师</w:t>
            </w:r>
            <w:r>
              <w:rPr>
                <w:rFonts w:hint="eastAsia" w:ascii="仿宋_GB2312" w:hAnsi="仿宋_GB2312" w:eastAsia="仿宋_GB2312" w:cs="仿宋_GB2312"/>
                <w:color w:val="auto"/>
                <w:sz w:val="21"/>
                <w:szCs w:val="21"/>
                <w:lang w:eastAsia="zh-CN"/>
              </w:rPr>
              <w:t>执业</w:t>
            </w:r>
            <w:r>
              <w:rPr>
                <w:rFonts w:hint="eastAsia" w:ascii="仿宋_GB2312" w:hAnsi="仿宋_GB2312" w:eastAsia="仿宋_GB2312" w:cs="仿宋_GB2312"/>
                <w:color w:val="auto"/>
                <w:sz w:val="21"/>
                <w:szCs w:val="21"/>
              </w:rPr>
              <w:t>年限在5年以上（含5年），每提供1名专职资产评估师得</w:t>
            </w:r>
            <w:r>
              <w:rPr>
                <w:rFonts w:hint="eastAsia" w:ascii="仿宋_GB2312" w:hAnsi="仿宋_GB2312" w:eastAsia="仿宋_GB2312" w:cs="仿宋_GB2312"/>
                <w:color w:val="auto"/>
                <w:sz w:val="21"/>
                <w:szCs w:val="21"/>
                <w:lang w:val="en-US" w:eastAsia="zh-CN"/>
              </w:rPr>
              <w:t>1</w:t>
            </w:r>
            <w:r>
              <w:rPr>
                <w:rFonts w:hint="eastAsia" w:ascii="仿宋_GB2312" w:hAnsi="仿宋_GB2312" w:eastAsia="仿宋_GB2312" w:cs="仿宋_GB2312"/>
                <w:color w:val="auto"/>
                <w:sz w:val="21"/>
                <w:szCs w:val="21"/>
              </w:rPr>
              <w:t>分；最高得</w:t>
            </w:r>
            <w:r>
              <w:rPr>
                <w:rFonts w:hint="eastAsia" w:ascii="仿宋_GB2312" w:hAnsi="仿宋_GB2312" w:eastAsia="仿宋_GB2312" w:cs="仿宋_GB2312"/>
                <w:color w:val="auto"/>
                <w:sz w:val="21"/>
                <w:szCs w:val="21"/>
                <w:lang w:val="en-US" w:eastAsia="zh-CN"/>
              </w:rPr>
              <w:t>10</w:t>
            </w:r>
            <w:r>
              <w:rPr>
                <w:rFonts w:hint="eastAsia" w:ascii="仿宋_GB2312" w:hAnsi="仿宋_GB2312" w:eastAsia="仿宋_GB2312" w:cs="仿宋_GB2312"/>
                <w:color w:val="auto"/>
                <w:sz w:val="21"/>
                <w:szCs w:val="21"/>
              </w:rPr>
              <w:t>分。</w:t>
            </w:r>
          </w:p>
          <w:p w14:paraId="1C943DAC">
            <w:pPr>
              <w:pageBreakBefore w:val="0"/>
              <w:kinsoku/>
              <w:wordWrap/>
              <w:overflowPunct/>
              <w:topLinePunct w:val="0"/>
              <w:autoSpaceDE/>
              <w:autoSpaceDN/>
              <w:bidi w:val="0"/>
              <w:adjustRightInd/>
              <w:snapToGrid w:val="0"/>
              <w:spacing w:before="0" w:after="0" w:line="240" w:lineRule="auto"/>
              <w:ind w:left="0" w:leftChars="0" w:firstLine="211" w:firstLineChars="100"/>
              <w:outlineLvl w:val="9"/>
              <w:rPr>
                <w:rFonts w:hint="eastAsia" w:ascii="仿宋_GB2312" w:hAnsi="仿宋_GB2312" w:eastAsia="仿宋_GB2312" w:cs="仿宋_GB2312"/>
                <w:b w:val="0"/>
                <w:color w:val="auto"/>
                <w:kern w:val="2"/>
                <w:sz w:val="21"/>
                <w:szCs w:val="21"/>
              </w:rPr>
            </w:pPr>
            <w:r>
              <w:rPr>
                <w:rFonts w:hint="eastAsia" w:ascii="仿宋_GB2312" w:hAnsi="仿宋_GB2312" w:eastAsia="仿宋_GB2312" w:cs="仿宋_GB2312"/>
                <w:b/>
                <w:bCs w:val="0"/>
                <w:color w:val="auto"/>
                <w:kern w:val="2"/>
                <w:sz w:val="21"/>
                <w:szCs w:val="21"/>
              </w:rPr>
              <w:t>项目派驻人员名单中</w:t>
            </w:r>
            <w:r>
              <w:rPr>
                <w:rFonts w:hint="eastAsia" w:ascii="仿宋_GB2312" w:hAnsi="仿宋_GB2312" w:eastAsia="仿宋_GB2312" w:cs="仿宋_GB2312"/>
                <w:b w:val="0"/>
                <w:color w:val="auto"/>
                <w:kern w:val="2"/>
                <w:sz w:val="21"/>
                <w:szCs w:val="21"/>
              </w:rPr>
              <w:t>，项目专职评估人员不低于</w:t>
            </w:r>
            <w:r>
              <w:rPr>
                <w:rFonts w:hint="eastAsia" w:ascii="仿宋_GB2312" w:hAnsi="仿宋_GB2312" w:eastAsia="仿宋_GB2312" w:cs="仿宋_GB2312"/>
                <w:b w:val="0"/>
                <w:color w:val="auto"/>
                <w:kern w:val="2"/>
                <w:sz w:val="21"/>
                <w:szCs w:val="21"/>
                <w:lang w:val="en-US" w:eastAsia="zh-CN"/>
              </w:rPr>
              <w:t>3</w:t>
            </w:r>
            <w:r>
              <w:rPr>
                <w:rFonts w:hint="eastAsia" w:ascii="仿宋_GB2312" w:hAnsi="仿宋_GB2312" w:eastAsia="仿宋_GB2312" w:cs="仿宋_GB2312"/>
                <w:b w:val="0"/>
                <w:color w:val="auto"/>
                <w:kern w:val="2"/>
                <w:sz w:val="21"/>
                <w:szCs w:val="21"/>
              </w:rPr>
              <w:t>人，且执业年限在5年及以上，得</w:t>
            </w:r>
            <w:r>
              <w:rPr>
                <w:rFonts w:hint="eastAsia" w:ascii="仿宋_GB2312" w:hAnsi="仿宋_GB2312" w:eastAsia="仿宋_GB2312" w:cs="仿宋_GB2312"/>
                <w:b w:val="0"/>
                <w:color w:val="auto"/>
                <w:kern w:val="2"/>
                <w:sz w:val="21"/>
                <w:szCs w:val="21"/>
                <w:lang w:val="en-US" w:eastAsia="zh-CN"/>
              </w:rPr>
              <w:t>10</w:t>
            </w:r>
            <w:r>
              <w:rPr>
                <w:rFonts w:hint="eastAsia" w:ascii="仿宋_GB2312" w:hAnsi="仿宋_GB2312" w:eastAsia="仿宋_GB2312" w:cs="仿宋_GB2312"/>
                <w:b w:val="0"/>
                <w:color w:val="auto"/>
                <w:kern w:val="2"/>
                <w:sz w:val="21"/>
                <w:szCs w:val="21"/>
              </w:rPr>
              <w:t>分；项目专职评估人员不低于</w:t>
            </w:r>
            <w:r>
              <w:rPr>
                <w:rFonts w:hint="eastAsia" w:ascii="仿宋_GB2312" w:hAnsi="仿宋_GB2312" w:eastAsia="仿宋_GB2312" w:cs="仿宋_GB2312"/>
                <w:b w:val="0"/>
                <w:color w:val="auto"/>
                <w:kern w:val="2"/>
                <w:sz w:val="21"/>
                <w:szCs w:val="21"/>
                <w:lang w:val="en-US" w:eastAsia="zh-CN"/>
              </w:rPr>
              <w:t>3</w:t>
            </w:r>
            <w:r>
              <w:rPr>
                <w:rFonts w:hint="eastAsia" w:ascii="仿宋_GB2312" w:hAnsi="仿宋_GB2312" w:eastAsia="仿宋_GB2312" w:cs="仿宋_GB2312"/>
                <w:b w:val="0"/>
                <w:color w:val="auto"/>
                <w:kern w:val="2"/>
                <w:sz w:val="21"/>
                <w:szCs w:val="21"/>
              </w:rPr>
              <w:t>人，且执业年限在3年及以上，得</w:t>
            </w:r>
            <w:r>
              <w:rPr>
                <w:rFonts w:hint="eastAsia" w:ascii="仿宋_GB2312" w:hAnsi="仿宋_GB2312" w:eastAsia="仿宋_GB2312" w:cs="仿宋_GB2312"/>
                <w:b w:val="0"/>
                <w:color w:val="auto"/>
                <w:kern w:val="2"/>
                <w:sz w:val="21"/>
                <w:szCs w:val="21"/>
                <w:lang w:val="en-US" w:eastAsia="zh-CN"/>
              </w:rPr>
              <w:t>5</w:t>
            </w:r>
            <w:r>
              <w:rPr>
                <w:rFonts w:hint="eastAsia" w:ascii="仿宋_GB2312" w:hAnsi="仿宋_GB2312" w:eastAsia="仿宋_GB2312" w:cs="仿宋_GB2312"/>
                <w:b w:val="0"/>
                <w:color w:val="auto"/>
                <w:kern w:val="2"/>
                <w:sz w:val="21"/>
                <w:szCs w:val="21"/>
              </w:rPr>
              <w:t>分；项目专职评估人员低于</w:t>
            </w:r>
            <w:r>
              <w:rPr>
                <w:rFonts w:hint="eastAsia" w:ascii="仿宋_GB2312" w:hAnsi="仿宋_GB2312" w:eastAsia="仿宋_GB2312" w:cs="仿宋_GB2312"/>
                <w:b w:val="0"/>
                <w:color w:val="auto"/>
                <w:kern w:val="2"/>
                <w:sz w:val="21"/>
                <w:szCs w:val="21"/>
                <w:lang w:val="en-US" w:eastAsia="zh-CN"/>
              </w:rPr>
              <w:t>3</w:t>
            </w:r>
            <w:r>
              <w:rPr>
                <w:rFonts w:hint="eastAsia" w:ascii="仿宋_GB2312" w:hAnsi="仿宋_GB2312" w:eastAsia="仿宋_GB2312" w:cs="仿宋_GB2312"/>
                <w:b w:val="0"/>
                <w:color w:val="auto"/>
                <w:kern w:val="2"/>
                <w:sz w:val="21"/>
                <w:szCs w:val="21"/>
              </w:rPr>
              <w:t>人，或执业年限在3年以下，不得分。</w:t>
            </w:r>
          </w:p>
          <w:p w14:paraId="51D24DFE">
            <w:pPr>
              <w:pageBreakBefore w:val="0"/>
              <w:widowControl/>
              <w:kinsoku/>
              <w:wordWrap/>
              <w:overflowPunct/>
              <w:topLinePunct w:val="0"/>
              <w:autoSpaceDE/>
              <w:autoSpaceDN/>
              <w:bidi w:val="0"/>
              <w:adjustRightInd/>
              <w:spacing w:line="240" w:lineRule="auto"/>
              <w:ind w:left="0" w:leftChars="0" w:firstLine="210" w:firstLineChars="100"/>
              <w:textAlignment w:val="center"/>
              <w:outlineLvl w:val="9"/>
              <w:rPr>
                <w:rFonts w:hint="eastAsia" w:ascii="仿宋_GB2312" w:hAnsi="仿宋_GB2312" w:eastAsia="仿宋_GB2312" w:cs="仿宋_GB2312"/>
                <w:color w:val="EE0000"/>
                <w:sz w:val="21"/>
                <w:szCs w:val="21"/>
              </w:rPr>
            </w:pPr>
            <w:r>
              <w:rPr>
                <w:rFonts w:hint="eastAsia" w:ascii="仿宋_GB2312" w:hAnsi="仿宋_GB2312" w:eastAsia="仿宋_GB2312" w:cs="仿宋_GB2312"/>
                <w:color w:val="auto"/>
                <w:sz w:val="21"/>
                <w:szCs w:val="21"/>
              </w:rPr>
              <w:t>注：需提供包括但不限于人员近三个月的社保缴纳证明（或劳动合同）及资产评估师执业证书登记卡（原件备查）等证明材料，无证明材料或所提供证明材料有瑕疵的，本项不得分。</w:t>
            </w:r>
          </w:p>
        </w:tc>
      </w:tr>
      <w:tr w14:paraId="30731591">
        <w:tblPrEx>
          <w:tblCellMar>
            <w:top w:w="0" w:type="dxa"/>
            <w:left w:w="0" w:type="dxa"/>
            <w:bottom w:w="0" w:type="dxa"/>
            <w:right w:w="0" w:type="dxa"/>
          </w:tblCellMar>
        </w:tblPrEx>
        <w:trPr>
          <w:trHeight w:val="2779" w:hRule="atLeast"/>
          <w:jc w:val="center"/>
        </w:trPr>
        <w:tc>
          <w:tcPr>
            <w:tcW w:w="1306"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6BB765CF">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评估工作方案</w:t>
            </w:r>
          </w:p>
        </w:tc>
        <w:tc>
          <w:tcPr>
            <w:tcW w:w="641"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75C9B953">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20</w:t>
            </w:r>
          </w:p>
        </w:tc>
        <w:tc>
          <w:tcPr>
            <w:tcW w:w="7992" w:type="dxa"/>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14:paraId="56D7911F">
            <w:pPr>
              <w:pageBreakBefore w:val="0"/>
              <w:widowControl/>
              <w:kinsoku/>
              <w:wordWrap/>
              <w:overflowPunct/>
              <w:topLinePunct w:val="0"/>
              <w:autoSpaceDE/>
              <w:autoSpaceDN/>
              <w:bidi w:val="0"/>
              <w:adjustRightInd/>
              <w:spacing w:line="240" w:lineRule="auto"/>
              <w:ind w:left="0" w:leftChars="0" w:firstLine="0" w:firstLineChars="0"/>
              <w:jc w:val="left"/>
              <w:textAlignment w:val="top"/>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提供与本次评估业务相关的方案，包括计划时间安排、资源配置、项目重难点分析等。</w:t>
            </w:r>
          </w:p>
          <w:p w14:paraId="26E748BA">
            <w:pPr>
              <w:pageBreakBefore w:val="0"/>
              <w:widowControl/>
              <w:kinsoku/>
              <w:wordWrap/>
              <w:overflowPunct/>
              <w:topLinePunct w:val="0"/>
              <w:autoSpaceDE/>
              <w:autoSpaceDN/>
              <w:bidi w:val="0"/>
              <w:adjustRightInd/>
              <w:spacing w:line="240" w:lineRule="auto"/>
              <w:ind w:left="0" w:leftChars="0" w:firstLine="210" w:firstLineChars="100"/>
              <w:jc w:val="left"/>
              <w:textAlignment w:val="top"/>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对本次评估业务理解较为深入、方案相关基本要素阐述清晰合理、匹配度好的得14</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20分；</w:t>
            </w:r>
          </w:p>
          <w:p w14:paraId="11DDC1B8">
            <w:pPr>
              <w:pageBreakBefore w:val="0"/>
              <w:widowControl/>
              <w:kinsoku/>
              <w:wordWrap/>
              <w:overflowPunct/>
              <w:topLinePunct w:val="0"/>
              <w:autoSpaceDE/>
              <w:autoSpaceDN/>
              <w:bidi w:val="0"/>
              <w:adjustRightInd/>
              <w:spacing w:line="240" w:lineRule="auto"/>
              <w:ind w:left="0" w:leftChars="0" w:firstLine="210" w:firstLineChars="100"/>
              <w:jc w:val="left"/>
              <w:textAlignment w:val="top"/>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对本次评估业务理解程度一般、方案相关基本要素阐述一般、匹配度中等的得7</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13分；</w:t>
            </w:r>
          </w:p>
          <w:p w14:paraId="035D6186">
            <w:pPr>
              <w:pageBreakBefore w:val="0"/>
              <w:widowControl/>
              <w:kinsoku/>
              <w:wordWrap/>
              <w:overflowPunct/>
              <w:topLinePunct w:val="0"/>
              <w:autoSpaceDE/>
              <w:autoSpaceDN/>
              <w:bidi w:val="0"/>
              <w:adjustRightInd/>
              <w:spacing w:line="240" w:lineRule="auto"/>
              <w:ind w:left="0" w:leftChars="0" w:firstLine="210" w:firstLineChars="100"/>
              <w:jc w:val="left"/>
              <w:textAlignment w:val="top"/>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对本次评估业务理解程度较差、方案相关基本要素阐述不清、匹配度低的得1</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6分；</w:t>
            </w:r>
          </w:p>
        </w:tc>
      </w:tr>
      <w:tr w14:paraId="19E6DA2B">
        <w:tblPrEx>
          <w:tblCellMar>
            <w:top w:w="0" w:type="dxa"/>
            <w:left w:w="0" w:type="dxa"/>
            <w:bottom w:w="0" w:type="dxa"/>
            <w:right w:w="0" w:type="dxa"/>
          </w:tblCellMar>
        </w:tblPrEx>
        <w:trPr>
          <w:trHeight w:val="2187" w:hRule="atLeast"/>
          <w:jc w:val="center"/>
        </w:trPr>
        <w:tc>
          <w:tcPr>
            <w:tcW w:w="1306"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4A0F24E1">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过往案例</w:t>
            </w:r>
          </w:p>
        </w:tc>
        <w:tc>
          <w:tcPr>
            <w:tcW w:w="641"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4206B756">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30</w:t>
            </w:r>
          </w:p>
        </w:tc>
        <w:tc>
          <w:tcPr>
            <w:tcW w:w="7992" w:type="dxa"/>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14:paraId="16B431CA">
            <w:pPr>
              <w:pageBreakBefore w:val="0"/>
              <w:widowControl/>
              <w:kinsoku/>
              <w:wordWrap/>
              <w:overflowPunct/>
              <w:topLinePunct w:val="0"/>
              <w:autoSpaceDE/>
              <w:autoSpaceDN/>
              <w:bidi w:val="0"/>
              <w:adjustRightInd/>
              <w:spacing w:line="240" w:lineRule="auto"/>
              <w:ind w:left="0" w:leftChars="0" w:firstLine="0" w:firstLineChars="0"/>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auto"/>
                <w:sz w:val="21"/>
                <w:szCs w:val="21"/>
              </w:rPr>
              <w:t>提供近3年（自2022年起）与本次招标项目类似的股权转让资产评估案例。提供经厦门国资委审核的股权转让案例5分/个；提供非经厦门国资委审核的股权转让案例2分/个，且最高得分4分。两项合计分数最高30分。案例需提供完整的评估报告摘要、委托方名称、评估目的、评估结果等资料，资料不完整的案例不得分。</w:t>
            </w:r>
          </w:p>
        </w:tc>
      </w:tr>
      <w:tr w14:paraId="50883A7C">
        <w:tblPrEx>
          <w:tblCellMar>
            <w:top w:w="0" w:type="dxa"/>
            <w:left w:w="0" w:type="dxa"/>
            <w:bottom w:w="0" w:type="dxa"/>
            <w:right w:w="0" w:type="dxa"/>
          </w:tblCellMar>
        </w:tblPrEx>
        <w:trPr>
          <w:trHeight w:val="3214" w:hRule="atLeast"/>
          <w:jc w:val="center"/>
        </w:trPr>
        <w:tc>
          <w:tcPr>
            <w:tcW w:w="1306" w:type="dxa"/>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14:paraId="484C578C">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质量控制制度</w:t>
            </w:r>
          </w:p>
        </w:tc>
        <w:tc>
          <w:tcPr>
            <w:tcW w:w="641" w:type="dxa"/>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14:paraId="33C76AFB">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15</w:t>
            </w:r>
          </w:p>
        </w:tc>
        <w:tc>
          <w:tcPr>
            <w:tcW w:w="7992" w:type="dxa"/>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14:paraId="045FDFDA">
            <w:pPr>
              <w:pageBreakBefore w:val="0"/>
              <w:widowControl/>
              <w:numPr>
                <w:ilvl w:val="255"/>
                <w:numId w:val="0"/>
              </w:numPr>
              <w:kinsoku/>
              <w:wordWrap/>
              <w:overflowPunct/>
              <w:topLinePunct w:val="0"/>
              <w:autoSpaceDE/>
              <w:autoSpaceDN/>
              <w:bidi w:val="0"/>
              <w:adjustRightInd/>
              <w:spacing w:line="240" w:lineRule="auto"/>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1、评估所内审机制：</w:t>
            </w:r>
          </w:p>
          <w:p w14:paraId="6D1B584D">
            <w:pPr>
              <w:pageBreakBefore w:val="0"/>
              <w:widowControl/>
              <w:numPr>
                <w:ilvl w:val="255"/>
                <w:numId w:val="0"/>
              </w:numPr>
              <w:kinsoku/>
              <w:wordWrap/>
              <w:overflowPunct/>
              <w:topLinePunct w:val="0"/>
              <w:autoSpaceDE/>
              <w:autoSpaceDN/>
              <w:bidi w:val="0"/>
              <w:adjustRightInd/>
              <w:spacing w:line="240" w:lineRule="auto"/>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评估所内部建立三级及以上内部审核机制的得</w:t>
            </w:r>
            <w:r>
              <w:rPr>
                <w:rFonts w:hint="eastAsia" w:ascii="仿宋_GB2312" w:hAnsi="仿宋_GB2312" w:eastAsia="仿宋_GB2312" w:cs="仿宋_GB2312"/>
                <w:color w:val="000000"/>
                <w:kern w:val="0"/>
                <w:sz w:val="21"/>
                <w:szCs w:val="21"/>
                <w:lang w:val="en-US" w:eastAsia="zh-CN" w:bidi="ar"/>
              </w:rPr>
              <w:t>10</w:t>
            </w:r>
            <w:r>
              <w:rPr>
                <w:rFonts w:hint="eastAsia" w:ascii="仿宋_GB2312" w:hAnsi="仿宋_GB2312" w:eastAsia="仿宋_GB2312" w:cs="仿宋_GB2312"/>
                <w:color w:val="000000"/>
                <w:kern w:val="0"/>
                <w:sz w:val="21"/>
                <w:szCs w:val="21"/>
                <w:lang w:bidi="ar"/>
              </w:rPr>
              <w:t>分，每少1级审核机制扣</w:t>
            </w:r>
            <w:r>
              <w:rPr>
                <w:rFonts w:hint="eastAsia" w:ascii="仿宋_GB2312" w:hAnsi="仿宋_GB2312" w:eastAsia="仿宋_GB2312" w:cs="仿宋_GB2312"/>
                <w:color w:val="000000"/>
                <w:kern w:val="0"/>
                <w:sz w:val="21"/>
                <w:szCs w:val="21"/>
                <w:lang w:val="en-US" w:eastAsia="zh-CN" w:bidi="ar"/>
              </w:rPr>
              <w:t>4</w:t>
            </w:r>
            <w:r>
              <w:rPr>
                <w:rFonts w:hint="eastAsia" w:ascii="仿宋_GB2312" w:hAnsi="仿宋_GB2312" w:eastAsia="仿宋_GB2312" w:cs="仿宋_GB2312"/>
                <w:color w:val="000000"/>
                <w:kern w:val="0"/>
                <w:sz w:val="21"/>
                <w:szCs w:val="21"/>
                <w:lang w:bidi="ar"/>
              </w:rPr>
              <w:t>分；未明确内审机制的，不得分。</w:t>
            </w:r>
          </w:p>
          <w:p w14:paraId="4D178552">
            <w:pPr>
              <w:pageBreakBefore w:val="0"/>
              <w:widowControl/>
              <w:numPr>
                <w:ilvl w:val="255"/>
                <w:numId w:val="0"/>
              </w:numPr>
              <w:kinsoku/>
              <w:wordWrap/>
              <w:overflowPunct/>
              <w:topLinePunct w:val="0"/>
              <w:autoSpaceDE/>
              <w:autoSpaceDN/>
              <w:bidi w:val="0"/>
              <w:adjustRightInd/>
              <w:spacing w:line="240" w:lineRule="auto"/>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2、供应商承诺函：</w:t>
            </w:r>
          </w:p>
          <w:p w14:paraId="1A6284AA">
            <w:pPr>
              <w:pageBreakBefore w:val="0"/>
              <w:widowControl/>
              <w:numPr>
                <w:ilvl w:val="255"/>
                <w:numId w:val="0"/>
              </w:numPr>
              <w:kinsoku/>
              <w:wordWrap/>
              <w:overflowPunct/>
              <w:topLinePunct w:val="0"/>
              <w:autoSpaceDE/>
              <w:autoSpaceDN/>
              <w:bidi w:val="0"/>
              <w:adjustRightInd/>
              <w:spacing w:line="240" w:lineRule="auto"/>
              <w:jc w:val="left"/>
              <w:textAlignment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lang w:bidi="ar"/>
              </w:rPr>
              <w:t>确保工作团队人员的稳定，不得单方面无故更换或减少派出人员。若项目需要，供应商应及时补充符合本项目要求相关资质的团队人员确保评估工作按照序时进度顺利开展。提供承诺得</w:t>
            </w:r>
            <w:r>
              <w:rPr>
                <w:rFonts w:hint="eastAsia" w:ascii="仿宋_GB2312" w:hAnsi="仿宋_GB2312" w:eastAsia="仿宋_GB2312" w:cs="仿宋_GB2312"/>
                <w:color w:val="000000"/>
                <w:kern w:val="0"/>
                <w:sz w:val="21"/>
                <w:szCs w:val="21"/>
                <w:lang w:val="en-US" w:eastAsia="zh-CN" w:bidi="ar"/>
              </w:rPr>
              <w:t>5</w:t>
            </w:r>
            <w:r>
              <w:rPr>
                <w:rFonts w:hint="eastAsia" w:ascii="仿宋_GB2312" w:hAnsi="仿宋_GB2312" w:eastAsia="仿宋_GB2312" w:cs="仿宋_GB2312"/>
                <w:color w:val="000000"/>
                <w:kern w:val="0"/>
                <w:sz w:val="21"/>
                <w:szCs w:val="21"/>
                <w:lang w:bidi="ar"/>
              </w:rPr>
              <w:t>分，未提供的不得分。</w:t>
            </w:r>
          </w:p>
        </w:tc>
      </w:tr>
      <w:tr w14:paraId="44121809">
        <w:tblPrEx>
          <w:tblCellMar>
            <w:top w:w="0" w:type="dxa"/>
            <w:left w:w="0" w:type="dxa"/>
            <w:bottom w:w="0" w:type="dxa"/>
            <w:right w:w="0" w:type="dxa"/>
          </w:tblCellMar>
        </w:tblPrEx>
        <w:trPr>
          <w:trHeight w:val="2064" w:hRule="atLeast"/>
          <w:jc w:val="center"/>
        </w:trPr>
        <w:tc>
          <w:tcPr>
            <w:tcW w:w="1306"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153880E4">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kern w:val="0"/>
                <w:sz w:val="21"/>
                <w:szCs w:val="21"/>
                <w:lang w:bidi="ar"/>
              </w:rPr>
              <w:t>费用报价</w:t>
            </w:r>
          </w:p>
        </w:tc>
        <w:tc>
          <w:tcPr>
            <w:tcW w:w="641" w:type="dxa"/>
            <w:tcBorders>
              <w:top w:val="single" w:color="000000" w:sz="8" w:space="0"/>
              <w:left w:val="single" w:color="000000" w:sz="8" w:space="0"/>
              <w:bottom w:val="single" w:color="000000" w:sz="8" w:space="0"/>
              <w:right w:val="single" w:color="000000" w:sz="8" w:space="0"/>
            </w:tcBorders>
            <w:noWrap/>
            <w:tcMar>
              <w:top w:w="10" w:type="dxa"/>
              <w:left w:w="10" w:type="dxa"/>
              <w:right w:w="10" w:type="dxa"/>
            </w:tcMar>
            <w:vAlign w:val="center"/>
          </w:tcPr>
          <w:p w14:paraId="33B55623">
            <w:pPr>
              <w:pageBreakBefore w:val="0"/>
              <w:widowControl/>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15</w:t>
            </w:r>
          </w:p>
        </w:tc>
        <w:tc>
          <w:tcPr>
            <w:tcW w:w="7992" w:type="dxa"/>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14:paraId="4EB6561B">
            <w:pPr>
              <w:pageBreakBefore w:val="0"/>
              <w:widowControl/>
              <w:kinsoku/>
              <w:wordWrap/>
              <w:overflowPunct/>
              <w:topLinePunct w:val="0"/>
              <w:autoSpaceDE/>
              <w:autoSpaceDN/>
              <w:bidi w:val="0"/>
              <w:adjustRightInd/>
              <w:spacing w:line="240" w:lineRule="auto"/>
              <w:ind w:left="0" w:leftChars="0" w:firstLine="0" w:firstLineChars="0"/>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费用报价得分=（1-|选聘基准价-费用报价|/选聘基准价）×费用报价所占权重分值，选聘基准价为参与选聘的评估机构费用报价的平均值。</w:t>
            </w:r>
          </w:p>
        </w:tc>
      </w:tr>
    </w:tbl>
    <w:p w14:paraId="671309D8">
      <w:pPr>
        <w:keepNext w:val="0"/>
        <w:keepLines w:val="0"/>
        <w:pageBreakBefore w:val="0"/>
        <w:widowControl w:val="0"/>
        <w:tabs>
          <w:tab w:val="left" w:pos="1050"/>
        </w:tabs>
        <w:kinsoku/>
        <w:wordWrap/>
        <w:overflowPunct/>
        <w:topLinePunct w:val="0"/>
        <w:autoSpaceDE/>
        <w:autoSpaceDN/>
        <w:bidi w:val="0"/>
        <w:adjustRightInd/>
        <w:snapToGrid/>
        <w:spacing w:line="360" w:lineRule="auto"/>
        <w:textAlignment w:val="auto"/>
        <w:rPr>
          <w:rFonts w:ascii="Times New Roman" w:hAnsi="Times New Roman" w:eastAsia="仿宋_GB2312"/>
          <w:b/>
          <w:sz w:val="24"/>
          <w:szCs w:val="24"/>
        </w:rPr>
      </w:pPr>
      <w:r>
        <w:rPr>
          <w:rFonts w:hint="eastAsia" w:ascii="Times New Roman" w:hAnsi="Times New Roman" w:eastAsia="仿宋_GB2312"/>
          <w:b/>
          <w:sz w:val="24"/>
          <w:szCs w:val="24"/>
        </w:rPr>
        <w:t>注：（1）提供虚假材料的按否决投标处理。</w:t>
      </w:r>
    </w:p>
    <w:p w14:paraId="0ABA8806">
      <w:pPr>
        <w:keepNext w:val="0"/>
        <w:keepLines w:val="0"/>
        <w:pageBreakBefore w:val="0"/>
        <w:widowControl w:val="0"/>
        <w:tabs>
          <w:tab w:val="left" w:pos="1050"/>
        </w:tabs>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仿宋_GB2312"/>
          <w:b/>
          <w:sz w:val="24"/>
          <w:szCs w:val="24"/>
        </w:rPr>
      </w:pPr>
      <w:r>
        <w:rPr>
          <w:rFonts w:hint="eastAsia" w:ascii="Times New Roman" w:hAnsi="Times New Roman" w:eastAsia="仿宋_GB2312"/>
          <w:b/>
          <w:sz w:val="24"/>
          <w:szCs w:val="24"/>
        </w:rPr>
        <w:t>（2）以</w:t>
      </w:r>
      <w:r>
        <w:rPr>
          <w:rFonts w:hint="eastAsia" w:ascii="Times New Roman" w:hAnsi="Times New Roman" w:eastAsia="仿宋_GB2312"/>
          <w:b/>
          <w:sz w:val="24"/>
          <w:szCs w:val="24"/>
          <w:lang w:val="en-US" w:eastAsia="zh-CN"/>
        </w:rPr>
        <w:t>评标小组</w:t>
      </w:r>
      <w:r>
        <w:rPr>
          <w:rFonts w:hint="eastAsia" w:ascii="Times New Roman" w:hAnsi="Times New Roman" w:eastAsia="仿宋_GB2312"/>
          <w:b/>
          <w:sz w:val="24"/>
          <w:szCs w:val="24"/>
        </w:rPr>
        <w:t>算术平均值计算，保留小数点后2位，小数点后第3位四舍五入。</w:t>
      </w:r>
    </w:p>
    <w:p w14:paraId="7FCC46CE">
      <w:pPr>
        <w:rPr>
          <w:rFonts w:hint="eastAsia" w:ascii="Times New Roman" w:hAnsi="Times New Roman" w:eastAsia="仿宋_GB2312"/>
          <w:b/>
          <w:sz w:val="24"/>
          <w:szCs w:val="24"/>
        </w:rPr>
      </w:pPr>
      <w:r>
        <w:rPr>
          <w:rFonts w:hint="eastAsia" w:ascii="Times New Roman" w:hAnsi="Times New Roman" w:eastAsia="仿宋_GB2312"/>
          <w:b/>
          <w:sz w:val="24"/>
          <w:szCs w:val="24"/>
        </w:rPr>
        <w:br w:type="page"/>
      </w:r>
    </w:p>
    <w:p w14:paraId="197C51B8">
      <w:pPr>
        <w:keepNext w:val="0"/>
        <w:keepLines w:val="0"/>
        <w:pageBreakBefore w:val="0"/>
        <w:widowControl w:val="0"/>
        <w:kinsoku/>
        <w:wordWrap/>
        <w:overflowPunct/>
        <w:topLinePunct w:val="0"/>
        <w:autoSpaceDE/>
        <w:autoSpaceDN/>
        <w:bidi w:val="0"/>
        <w:adjustRightInd/>
        <w:snapToGrid/>
        <w:spacing w:after="330" w:line="560" w:lineRule="exact"/>
        <w:ind w:firstLine="641"/>
        <w:jc w:val="center"/>
        <w:textAlignment w:val="auto"/>
        <w:outlineLvl w:val="1"/>
        <w:rPr>
          <w:rFonts w:hint="eastAsia" w:ascii="Times New Roman" w:hAnsi="Times New Roman" w:eastAsia="仿宋_GB2312" w:cs="仿宋_GB2312"/>
          <w:b/>
          <w:bCs/>
          <w:color w:val="000000"/>
          <w:sz w:val="36"/>
          <w:szCs w:val="36"/>
          <w:highlight w:val="none"/>
          <w:lang w:val="en-US" w:eastAsia="zh-CN"/>
        </w:rPr>
      </w:pPr>
      <w:bookmarkStart w:id="16" w:name="_Toc15442"/>
      <w:r>
        <w:rPr>
          <w:rFonts w:hint="eastAsia" w:ascii="Times New Roman" w:hAnsi="Times New Roman" w:eastAsia="仿宋_GB2312" w:cs="仿宋_GB2312"/>
          <w:b/>
          <w:bCs/>
          <w:color w:val="000000"/>
          <w:sz w:val="36"/>
          <w:szCs w:val="36"/>
          <w:highlight w:val="none"/>
          <w:lang w:val="en-US" w:eastAsia="zh-CN"/>
        </w:rPr>
        <w:t>第六章 合同主要条款（参考）</w:t>
      </w:r>
      <w:bookmarkEnd w:id="8"/>
      <w:bookmarkEnd w:id="9"/>
      <w:bookmarkEnd w:id="16"/>
    </w:p>
    <w:p w14:paraId="4B9075C9">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合同编号：</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w:t>
      </w:r>
    </w:p>
    <w:p w14:paraId="2E1D5F09">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签订地点：</w:t>
      </w:r>
      <w:r>
        <w:rPr>
          <w:rFonts w:hint="eastAsia" w:ascii="Times New Roman" w:hAnsi="Times New Roman" w:eastAsia="仿宋_GB2312" w:cs="宋体"/>
          <w:color w:val="000000"/>
          <w:sz w:val="24"/>
          <w:szCs w:val="24"/>
          <w:u w:val="single"/>
          <w:lang w:val="en-US" w:eastAsia="zh-CN" w:bidi="ar"/>
        </w:rPr>
        <w:t xml:space="preserve">     福建厦门        </w:t>
      </w:r>
      <w:r>
        <w:rPr>
          <w:rFonts w:hint="eastAsia" w:ascii="Times New Roman" w:hAnsi="Times New Roman" w:eastAsia="仿宋_GB2312" w:cs="宋体"/>
          <w:color w:val="000000"/>
          <w:sz w:val="24"/>
          <w:szCs w:val="24"/>
          <w:lang w:bidi="ar"/>
        </w:rPr>
        <w:t>。</w:t>
      </w:r>
    </w:p>
    <w:p w14:paraId="1A8CE5BD">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签订时间：</w:t>
      </w:r>
      <w:r>
        <w:rPr>
          <w:rFonts w:hint="eastAsia" w:ascii="Times New Roman" w:hAnsi="Times New Roman" w:eastAsia="仿宋_GB2312" w:cs="宋体"/>
          <w:color w:val="000000"/>
          <w:sz w:val="24"/>
          <w:szCs w:val="24"/>
          <w:lang w:val="en-US" w:eastAsia="zh-CN" w:bidi="ar"/>
        </w:rPr>
        <w:t>2025</w:t>
      </w:r>
      <w:r>
        <w:rPr>
          <w:rFonts w:hint="eastAsia" w:ascii="Times New Roman" w:hAnsi="Times New Roman" w:eastAsia="仿宋_GB2312" w:cs="宋体"/>
          <w:color w:val="000000"/>
          <w:sz w:val="24"/>
          <w:szCs w:val="24"/>
          <w:lang w:bidi="ar"/>
        </w:rPr>
        <w:t>年</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月</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日。</w:t>
      </w:r>
    </w:p>
    <w:p w14:paraId="4D03855F">
      <w:pPr>
        <w:widowControl/>
        <w:spacing w:line="360" w:lineRule="auto"/>
        <w:jc w:val="left"/>
        <w:textAlignment w:val="center"/>
        <w:rPr>
          <w:rFonts w:hint="default" w:ascii="Times New Roman" w:hAnsi="Times New Roman" w:eastAsia="仿宋_GB2312" w:cs="宋体"/>
          <w:color w:val="000000"/>
          <w:sz w:val="24"/>
          <w:szCs w:val="24"/>
          <w:u w:val="none"/>
          <w:lang w:val="en-US" w:eastAsia="zh-CN" w:bidi="ar"/>
        </w:rPr>
      </w:pPr>
      <w:r>
        <w:rPr>
          <w:rFonts w:hint="eastAsia" w:ascii="Times New Roman" w:hAnsi="Times New Roman" w:eastAsia="仿宋_GB2312" w:cs="宋体"/>
          <w:color w:val="000000"/>
          <w:sz w:val="24"/>
          <w:szCs w:val="24"/>
          <w:lang w:bidi="ar"/>
        </w:rPr>
        <w:t>采购人（甲方）：</w:t>
      </w:r>
      <w:r>
        <w:rPr>
          <w:rFonts w:hint="eastAsia" w:ascii="Times New Roman" w:hAnsi="Times New Roman" w:eastAsia="仿宋_GB2312" w:cs="宋体"/>
          <w:color w:val="000000"/>
          <w:sz w:val="24"/>
          <w:szCs w:val="24"/>
          <w:u w:val="single"/>
          <w:lang w:val="en-US" w:eastAsia="zh-CN" w:bidi="ar"/>
        </w:rPr>
        <w:t xml:space="preserve">厦门科技产业化集团有限公司 </w:t>
      </w:r>
      <w:r>
        <w:rPr>
          <w:rFonts w:hint="eastAsia" w:ascii="Times New Roman" w:hAnsi="Times New Roman" w:eastAsia="仿宋_GB2312" w:cs="宋体"/>
          <w:color w:val="000000"/>
          <w:sz w:val="24"/>
          <w:szCs w:val="24"/>
          <w:u w:val="none"/>
          <w:lang w:val="en-US" w:eastAsia="zh-CN" w:bidi="ar"/>
        </w:rPr>
        <w:t>。</w:t>
      </w:r>
    </w:p>
    <w:p w14:paraId="5B9A8720">
      <w:pPr>
        <w:widowControl/>
        <w:spacing w:line="360" w:lineRule="auto"/>
        <w:jc w:val="left"/>
        <w:textAlignment w:val="center"/>
        <w:rPr>
          <w:rFonts w:hint="default" w:ascii="Times New Roman" w:hAnsi="Times New Roman" w:eastAsia="仿宋_GB2312" w:cs="宋体"/>
          <w:color w:val="000000"/>
          <w:sz w:val="24"/>
          <w:szCs w:val="24"/>
          <w:u w:val="none"/>
          <w:lang w:val="en-US" w:eastAsia="zh-CN" w:bidi="ar"/>
        </w:rPr>
      </w:pPr>
      <w:r>
        <w:rPr>
          <w:rFonts w:hint="eastAsia" w:ascii="Times New Roman" w:hAnsi="Times New Roman" w:eastAsia="仿宋_GB2312" w:cs="宋体"/>
          <w:color w:val="000000"/>
          <w:sz w:val="24"/>
          <w:szCs w:val="24"/>
          <w:lang w:eastAsia="zh-CN" w:bidi="ar"/>
        </w:rPr>
        <w:t>投标人</w:t>
      </w:r>
      <w:r>
        <w:rPr>
          <w:rFonts w:hint="eastAsia" w:ascii="Times New Roman" w:hAnsi="Times New Roman" w:eastAsia="仿宋_GB2312" w:cs="宋体"/>
          <w:color w:val="000000"/>
          <w:sz w:val="24"/>
          <w:szCs w:val="24"/>
          <w:lang w:bidi="ar"/>
        </w:rPr>
        <w:t>（乙方）：</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u w:val="none"/>
          <w:lang w:val="en-US" w:eastAsia="zh-CN" w:bidi="ar"/>
        </w:rPr>
        <w:t>。</w:t>
      </w:r>
    </w:p>
    <w:p w14:paraId="27F4668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根据《中华人民共和国民法典》及</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采购项目（项目编号：</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）的《招标文件》、乙方的《投标文件》及《中标通知书》，甲、乙双方同意签订本合同。详细技术说明及其他有关合同项目的特定信息由合同附件予以说明，合同附件及本项目的</w:t>
      </w:r>
      <w:r>
        <w:rPr>
          <w:rFonts w:hint="eastAsia" w:ascii="Times New Roman" w:hAnsi="Times New Roman" w:eastAsia="仿宋_GB2312" w:cs="宋体"/>
          <w:color w:val="000000"/>
          <w:sz w:val="24"/>
          <w:szCs w:val="24"/>
          <w:lang w:eastAsia="zh-CN" w:bidi="ar"/>
        </w:rPr>
        <w:t>邀标</w:t>
      </w:r>
      <w:r>
        <w:rPr>
          <w:rFonts w:hint="eastAsia" w:ascii="Times New Roman" w:hAnsi="Times New Roman" w:eastAsia="仿宋_GB2312" w:cs="宋体"/>
          <w:color w:val="000000"/>
          <w:sz w:val="24"/>
          <w:szCs w:val="24"/>
          <w:lang w:bidi="ar"/>
        </w:rPr>
        <w:t>文件、投标文件、《中标通知书》等均为本合同不可分割的部分。双方同意共同遵守如下条款：</w:t>
      </w:r>
    </w:p>
    <w:p w14:paraId="4411C834">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bookmarkStart w:id="17" w:name="_Toc217446115"/>
      <w:r>
        <w:rPr>
          <w:rFonts w:hint="eastAsia" w:ascii="Times New Roman" w:hAnsi="Times New Roman" w:eastAsia="仿宋_GB2312" w:cs="宋体"/>
          <w:b/>
          <w:bCs/>
          <w:color w:val="000000"/>
          <w:sz w:val="24"/>
          <w:szCs w:val="24"/>
          <w:lang w:val="en-US" w:eastAsia="zh-CN" w:bidi="ar"/>
        </w:rPr>
        <w:t>第一条 项目基本情况</w:t>
      </w:r>
    </w:p>
    <w:p w14:paraId="50BD9251">
      <w:pPr>
        <w:widowControl/>
        <w:spacing w:line="360" w:lineRule="auto"/>
        <w:jc w:val="left"/>
        <w:textAlignment w:val="center"/>
        <w:rPr>
          <w:rFonts w:hint="eastAsia" w:ascii="Times New Roman" w:hAnsi="Times New Roman" w:eastAsia="仿宋_GB2312" w:cs="宋体"/>
          <w:color w:val="000000"/>
          <w:sz w:val="24"/>
          <w:szCs w:val="24"/>
          <w:lang w:bidi="ar"/>
        </w:rPr>
      </w:pPr>
    </w:p>
    <w:p w14:paraId="3D9EFA5F">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r>
        <w:rPr>
          <w:rFonts w:hint="eastAsia" w:ascii="Times New Roman" w:hAnsi="Times New Roman" w:eastAsia="仿宋_GB2312" w:cs="宋体"/>
          <w:b/>
          <w:bCs/>
          <w:color w:val="000000"/>
          <w:sz w:val="24"/>
          <w:szCs w:val="24"/>
          <w:lang w:val="en-US" w:eastAsia="zh-CN" w:bidi="ar"/>
        </w:rPr>
        <w:t>第二条 合同期限</w:t>
      </w:r>
    </w:p>
    <w:p w14:paraId="4B031C26">
      <w:pPr>
        <w:widowControl/>
        <w:spacing w:line="360" w:lineRule="auto"/>
        <w:jc w:val="left"/>
        <w:textAlignment w:val="center"/>
        <w:rPr>
          <w:rFonts w:hint="eastAsia" w:ascii="Times New Roman" w:hAnsi="Times New Roman" w:eastAsia="仿宋_GB2312" w:cs="宋体"/>
          <w:color w:val="000000"/>
          <w:sz w:val="24"/>
          <w:szCs w:val="24"/>
          <w:lang w:bidi="ar"/>
        </w:rPr>
      </w:pPr>
    </w:p>
    <w:p w14:paraId="2B873418">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bookmarkStart w:id="18" w:name="_Toc247334841"/>
      <w:bookmarkStart w:id="19" w:name="_Toc211854449"/>
      <w:bookmarkStart w:id="20" w:name="_Toc283019214"/>
      <w:bookmarkStart w:id="21" w:name="_Toc239568418"/>
      <w:bookmarkStart w:id="22" w:name="_Toc241833903"/>
      <w:bookmarkStart w:id="23" w:name="_Toc286993786"/>
      <w:bookmarkStart w:id="24" w:name="_Toc237145406"/>
      <w:bookmarkStart w:id="25" w:name="_Toc225670751"/>
      <w:bookmarkStart w:id="26" w:name="_Toc238984975"/>
      <w:bookmarkStart w:id="27" w:name="_Toc185395249"/>
      <w:bookmarkStart w:id="28" w:name="_Toc225244852"/>
      <w:bookmarkStart w:id="29" w:name="_Toc225654644"/>
      <w:bookmarkStart w:id="30" w:name="_Toc212019594"/>
      <w:bookmarkStart w:id="31" w:name="_Toc251768862"/>
      <w:bookmarkStart w:id="32" w:name="_Toc282696226"/>
      <w:bookmarkStart w:id="33" w:name="_Toc239233914"/>
      <w:bookmarkStart w:id="34" w:name="_Toc211911348"/>
      <w:bookmarkStart w:id="35" w:name="_Toc232492928"/>
      <w:r>
        <w:rPr>
          <w:rFonts w:hint="eastAsia" w:ascii="Times New Roman" w:hAnsi="Times New Roman" w:eastAsia="仿宋_GB2312" w:cs="宋体"/>
          <w:b/>
          <w:bCs/>
          <w:color w:val="000000"/>
          <w:sz w:val="24"/>
          <w:szCs w:val="24"/>
          <w:lang w:val="en-US" w:eastAsia="zh-CN" w:bidi="ar"/>
        </w:rPr>
        <w:t>第三条 服务内容</w:t>
      </w:r>
    </w:p>
    <w:p w14:paraId="2EC2B2FD">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val="en-US" w:eastAsia="zh-CN" w:bidi="ar"/>
        </w:rPr>
      </w:pPr>
      <w:r>
        <w:rPr>
          <w:rFonts w:hint="eastAsia" w:ascii="Times New Roman" w:hAnsi="Times New Roman" w:eastAsia="仿宋_GB2312" w:cs="宋体"/>
          <w:color w:val="000000"/>
          <w:sz w:val="24"/>
          <w:szCs w:val="24"/>
          <w:lang w:val="en-US" w:eastAsia="zh-CN" w:bidi="ar"/>
        </w:rPr>
        <w:t>1.</w:t>
      </w:r>
    </w:p>
    <w:p w14:paraId="61FE7FAD">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val="en-US" w:eastAsia="zh-CN" w:bidi="ar"/>
        </w:rPr>
      </w:pPr>
      <w:r>
        <w:rPr>
          <w:rFonts w:hint="eastAsia" w:ascii="Times New Roman" w:hAnsi="Times New Roman" w:eastAsia="仿宋_GB2312" w:cs="宋体"/>
          <w:color w:val="000000"/>
          <w:sz w:val="24"/>
          <w:szCs w:val="24"/>
          <w:lang w:val="en-US" w:eastAsia="zh-CN" w:bidi="ar"/>
        </w:rPr>
        <w:t>2.</w:t>
      </w:r>
    </w:p>
    <w:p w14:paraId="3D995374">
      <w:pPr>
        <w:widowControl/>
        <w:spacing w:line="360" w:lineRule="auto"/>
        <w:ind w:firstLine="420" w:firstLineChars="0"/>
        <w:jc w:val="left"/>
        <w:textAlignment w:val="center"/>
        <w:rPr>
          <w:rFonts w:hint="default" w:ascii="Times New Roman" w:hAnsi="Times New Roman" w:eastAsia="仿宋_GB2312" w:cs="宋体"/>
          <w:color w:val="000000"/>
          <w:sz w:val="24"/>
          <w:szCs w:val="24"/>
          <w:lang w:val="en-US" w:eastAsia="zh-CN" w:bidi="ar"/>
        </w:rPr>
      </w:pPr>
      <w:r>
        <w:rPr>
          <w:rFonts w:hint="eastAsia" w:ascii="Times New Roman" w:hAnsi="Times New Roman" w:eastAsia="仿宋_GB2312" w:cs="宋体"/>
          <w:color w:val="000000"/>
          <w:sz w:val="24"/>
          <w:szCs w:val="24"/>
          <w:lang w:val="en-US" w:eastAsia="zh-CN" w:bidi="ar"/>
        </w:rPr>
        <w:t>3.</w:t>
      </w:r>
    </w:p>
    <w:p w14:paraId="001AFEC3">
      <w:pPr>
        <w:widowControl/>
        <w:spacing w:line="360" w:lineRule="auto"/>
        <w:ind w:firstLine="420" w:firstLineChars="0"/>
        <w:jc w:val="left"/>
        <w:textAlignment w:val="center"/>
        <w:rPr>
          <w:rFonts w:hint="eastAsia" w:ascii="Times New Roman" w:hAnsi="Times New Roman" w:eastAsia="仿宋_GB2312" w:cs="宋体"/>
          <w:b w:val="0"/>
          <w:bCs w:val="0"/>
          <w:color w:val="000000"/>
          <w:sz w:val="24"/>
          <w:szCs w:val="24"/>
          <w:lang w:val="en-US" w:eastAsia="zh-CN" w:bidi="ar"/>
        </w:rPr>
      </w:pPr>
      <w:r>
        <w:rPr>
          <w:rFonts w:hint="eastAsia" w:ascii="Times New Roman" w:hAnsi="Times New Roman" w:eastAsia="仿宋_GB2312" w:cs="宋体"/>
          <w:b w:val="0"/>
          <w:bCs w:val="0"/>
          <w:color w:val="000000"/>
          <w:sz w:val="24"/>
          <w:szCs w:val="24"/>
          <w:lang w:val="en-US" w:eastAsia="zh-CN" w:bidi="ar"/>
        </w:rPr>
        <w:t>…</w:t>
      </w:r>
    </w:p>
    <w:p w14:paraId="4F642C9B">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r>
        <w:rPr>
          <w:rFonts w:hint="eastAsia" w:ascii="Times New Roman" w:hAnsi="Times New Roman" w:eastAsia="仿宋_GB2312" w:cs="宋体"/>
          <w:b/>
          <w:bCs/>
          <w:color w:val="000000"/>
          <w:sz w:val="24"/>
          <w:szCs w:val="24"/>
          <w:lang w:val="en-US" w:eastAsia="zh-CN" w:bidi="ar"/>
        </w:rPr>
        <w:t>第四条 服务费用及支付方式</w:t>
      </w:r>
    </w:p>
    <w:p w14:paraId="051B1D77">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val="en-US" w:eastAsia="zh-CN" w:bidi="ar"/>
        </w:rPr>
        <w:t>一</w:t>
      </w: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bidi="ar"/>
        </w:rPr>
        <w:t>本项目服务费用由以下组成：</w:t>
      </w:r>
    </w:p>
    <w:p w14:paraId="0CE0DEE0">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1.    </w:t>
      </w:r>
      <w:r>
        <w:rPr>
          <w:rFonts w:hint="eastAsia" w:ascii="Times New Roman" w:hAnsi="Times New Roman" w:eastAsia="仿宋_GB2312" w:cs="宋体"/>
          <w:color w:val="000000"/>
          <w:sz w:val="24"/>
          <w:szCs w:val="24"/>
          <w:lang w:bidi="ar"/>
        </w:rPr>
        <w:t>万元；</w:t>
      </w:r>
    </w:p>
    <w:p w14:paraId="5D56BA9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2.    </w:t>
      </w:r>
      <w:r>
        <w:rPr>
          <w:rFonts w:hint="eastAsia" w:ascii="Times New Roman" w:hAnsi="Times New Roman" w:eastAsia="仿宋_GB2312" w:cs="宋体"/>
          <w:color w:val="000000"/>
          <w:sz w:val="24"/>
          <w:szCs w:val="24"/>
          <w:lang w:bidi="ar"/>
        </w:rPr>
        <w:t>万元；</w:t>
      </w:r>
    </w:p>
    <w:p w14:paraId="4A21CB9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3.    </w:t>
      </w:r>
      <w:r>
        <w:rPr>
          <w:rFonts w:hint="eastAsia" w:ascii="Times New Roman" w:hAnsi="Times New Roman" w:eastAsia="仿宋_GB2312" w:cs="宋体"/>
          <w:color w:val="000000"/>
          <w:sz w:val="24"/>
          <w:szCs w:val="24"/>
          <w:lang w:bidi="ar"/>
        </w:rPr>
        <w:t>万元。</w:t>
      </w:r>
    </w:p>
    <w:p w14:paraId="12BEA207">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val="en-US" w:eastAsia="zh-CN" w:bidi="ar"/>
        </w:rPr>
        <w:t>二</w:t>
      </w:r>
      <w:r>
        <w:rPr>
          <w:rFonts w:hint="eastAsia" w:ascii="Times New Roman" w:hAnsi="Times New Roman" w:eastAsia="仿宋_GB2312" w:cs="宋体"/>
          <w:color w:val="000000"/>
          <w:sz w:val="24"/>
          <w:szCs w:val="24"/>
          <w:lang w:eastAsia="zh-CN" w:bidi="ar"/>
        </w:rPr>
        <w:t>）</w:t>
      </w:r>
      <w:r>
        <w:rPr>
          <w:rFonts w:hint="eastAsia" w:ascii="Times New Roman" w:hAnsi="Times New Roman" w:eastAsia="仿宋_GB2312" w:cs="宋体"/>
          <w:color w:val="000000"/>
          <w:sz w:val="24"/>
          <w:szCs w:val="24"/>
          <w:lang w:bidi="ar"/>
        </w:rPr>
        <w:t xml:space="preserve">服务费支付方式： </w:t>
      </w:r>
    </w:p>
    <w:p w14:paraId="06835A6B">
      <w:pPr>
        <w:widowControl/>
        <w:spacing w:line="360" w:lineRule="auto"/>
        <w:jc w:val="left"/>
        <w:textAlignment w:val="center"/>
        <w:rPr>
          <w:rFonts w:hint="eastAsia" w:ascii="Times New Roman" w:hAnsi="Times New Roman" w:eastAsia="仿宋_GB2312" w:cs="宋体"/>
          <w:b/>
          <w:bCs/>
          <w:color w:val="000000"/>
          <w:sz w:val="24"/>
          <w:szCs w:val="24"/>
          <w:lang w:val="en-US" w:eastAsia="zh-CN" w:bidi="ar"/>
        </w:rPr>
      </w:pPr>
      <w:r>
        <w:rPr>
          <w:rFonts w:hint="eastAsia" w:ascii="Times New Roman" w:hAnsi="Times New Roman" w:eastAsia="仿宋_GB2312" w:cs="宋体"/>
          <w:b/>
          <w:bCs/>
          <w:color w:val="000000"/>
          <w:sz w:val="24"/>
          <w:szCs w:val="24"/>
          <w:lang w:val="en-US" w:eastAsia="zh-CN" w:bidi="ar"/>
        </w:rPr>
        <w:t>第五条 知识产权</w:t>
      </w:r>
    </w:p>
    <w:p w14:paraId="48094F46">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乙方应保证所提供的服务或其任何一部分均不会侵犯任何第三方的专利权、商标权或著作权。</w:t>
      </w:r>
    </w:p>
    <w:p w14:paraId="62B51292">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第六条 </w:t>
      </w:r>
      <w:r>
        <w:rPr>
          <w:rFonts w:hint="eastAsia" w:ascii="Times New Roman" w:hAnsi="Times New Roman" w:eastAsia="仿宋_GB2312" w:cs="宋体"/>
          <w:b/>
          <w:bCs/>
          <w:color w:val="000000"/>
          <w:sz w:val="24"/>
          <w:szCs w:val="24"/>
          <w:lang w:bidi="ar"/>
        </w:rPr>
        <w:t>无产权瑕疵条款</w:t>
      </w:r>
    </w:p>
    <w:p w14:paraId="17D8D3EC">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乙方保证所提供的服务的所有权完全属于乙方且无任何抵押、查封等产权瑕疵。如有产权瑕疵的，视为乙方违约。乙方应负担由此而产生的一切损失。</w:t>
      </w:r>
    </w:p>
    <w:p w14:paraId="11B75C2B">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 xml:space="preserve">第七条 </w:t>
      </w:r>
      <w:r>
        <w:rPr>
          <w:rFonts w:hint="eastAsia" w:ascii="Times New Roman" w:hAnsi="Times New Roman" w:eastAsia="仿宋_GB2312" w:cs="宋体"/>
          <w:color w:val="000000"/>
          <w:sz w:val="24"/>
          <w:szCs w:val="24"/>
          <w:lang w:bidi="ar"/>
        </w:rPr>
        <w:t>履约保证金</w:t>
      </w:r>
    </w:p>
    <w:p w14:paraId="07690167">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乙方交纳人民币</w:t>
      </w:r>
      <w:r>
        <w:rPr>
          <w:rFonts w:hint="eastAsia" w:ascii="Times New Roman" w:hAnsi="Times New Roman" w:eastAsia="仿宋_GB2312" w:cs="宋体"/>
          <w:color w:val="000000"/>
          <w:sz w:val="24"/>
          <w:szCs w:val="24"/>
          <w:u w:val="single"/>
          <w:lang w:val="en-US" w:eastAsia="zh-CN" w:bidi="ar"/>
        </w:rPr>
        <w:t xml:space="preserve">    </w:t>
      </w:r>
      <w:r>
        <w:rPr>
          <w:rFonts w:hint="eastAsia" w:ascii="Times New Roman" w:hAnsi="Times New Roman" w:eastAsia="仿宋_GB2312" w:cs="宋体"/>
          <w:color w:val="000000"/>
          <w:sz w:val="24"/>
          <w:szCs w:val="24"/>
          <w:lang w:bidi="ar"/>
        </w:rPr>
        <w:t>元作为本合同的履约保证金。</w:t>
      </w:r>
    </w:p>
    <w:p w14:paraId="227BCA9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履约保证金作为违约金的</w:t>
      </w:r>
      <w:r>
        <w:rPr>
          <w:rFonts w:hint="eastAsia" w:ascii="Times New Roman" w:hAnsi="Times New Roman" w:eastAsia="仿宋_GB2312" w:cs="宋体"/>
          <w:color w:val="000000"/>
          <w:sz w:val="24"/>
          <w:szCs w:val="24"/>
          <w:lang w:eastAsia="zh-CN" w:bidi="ar"/>
        </w:rPr>
        <w:t>一部分</w:t>
      </w:r>
      <w:r>
        <w:rPr>
          <w:rFonts w:hint="eastAsia" w:ascii="Times New Roman" w:hAnsi="Times New Roman" w:eastAsia="仿宋_GB2312" w:cs="宋体"/>
          <w:color w:val="000000"/>
          <w:sz w:val="24"/>
          <w:szCs w:val="24"/>
          <w:lang w:bidi="ar"/>
        </w:rPr>
        <w:t>用于补偿甲方因乙方不能履行合同义务</w:t>
      </w:r>
      <w:r>
        <w:rPr>
          <w:rFonts w:hint="eastAsia" w:ascii="Times New Roman" w:hAnsi="Times New Roman" w:eastAsia="仿宋_GB2312" w:cs="宋体"/>
          <w:color w:val="000000"/>
          <w:sz w:val="24"/>
          <w:szCs w:val="24"/>
          <w:lang w:val="en-US" w:eastAsia="zh-CN" w:bidi="ar"/>
        </w:rPr>
        <w:tab/>
      </w:r>
      <w:r>
        <w:rPr>
          <w:rFonts w:hint="eastAsia" w:ascii="Times New Roman" w:hAnsi="Times New Roman" w:eastAsia="仿宋_GB2312" w:cs="宋体"/>
          <w:color w:val="000000"/>
          <w:sz w:val="24"/>
          <w:szCs w:val="24"/>
          <w:lang w:bidi="ar"/>
        </w:rPr>
        <w:t>而蒙受的损失。</w:t>
      </w:r>
    </w:p>
    <w:p w14:paraId="6B64BA33">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第八条 </w:t>
      </w:r>
      <w:r>
        <w:rPr>
          <w:rFonts w:hint="eastAsia" w:ascii="Times New Roman" w:hAnsi="Times New Roman" w:eastAsia="仿宋_GB2312" w:cs="宋体"/>
          <w:b/>
          <w:bCs/>
          <w:color w:val="000000"/>
          <w:sz w:val="24"/>
          <w:szCs w:val="24"/>
          <w:lang w:bidi="ar"/>
        </w:rPr>
        <w:t>甲方的权利和义务</w:t>
      </w:r>
    </w:p>
    <w:p w14:paraId="661EB1FF">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甲方有权对合同规定范围内乙方的服务行为进行监督和检查，拥有监管权。有权定期核对乙方提供服务所配备的人员数量。对甲方认为不合理的部分有权下达整改通知书，并要求乙方限期整改。</w:t>
      </w:r>
    </w:p>
    <w:p w14:paraId="6757B4C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甲方有权依据双方签订的考评办法对乙方提供的服务进行定期考评。当考评结果未达到标准时，有权依据考评办法约定的数额扣除履约保证金。</w:t>
      </w:r>
    </w:p>
    <w:p w14:paraId="3213C57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负责检查监督乙方管理工作的实施及制度的执行情况。</w:t>
      </w:r>
    </w:p>
    <w:p w14:paraId="6CA8F6D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根据本合同规定，按时向乙方支付应付服务费用。</w:t>
      </w:r>
    </w:p>
    <w:p w14:paraId="29E4C81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5.</w:t>
      </w:r>
      <w:r>
        <w:rPr>
          <w:rFonts w:hint="eastAsia" w:ascii="Times New Roman" w:hAnsi="Times New Roman" w:eastAsia="仿宋_GB2312" w:cs="宋体"/>
          <w:color w:val="000000"/>
          <w:sz w:val="24"/>
          <w:szCs w:val="24"/>
          <w:lang w:bidi="ar"/>
        </w:rPr>
        <w:t>国家法律、法规所规定由甲方承担的</w:t>
      </w:r>
      <w:r>
        <w:rPr>
          <w:rFonts w:hint="eastAsia" w:ascii="Times New Roman" w:hAnsi="Times New Roman" w:eastAsia="仿宋_GB2312" w:cs="宋体"/>
          <w:color w:val="000000"/>
          <w:sz w:val="24"/>
          <w:szCs w:val="24"/>
          <w:lang w:eastAsia="zh-CN" w:bidi="ar"/>
        </w:rPr>
        <w:t>其他</w:t>
      </w:r>
      <w:r>
        <w:rPr>
          <w:rFonts w:hint="eastAsia" w:ascii="Times New Roman" w:hAnsi="Times New Roman" w:eastAsia="仿宋_GB2312" w:cs="宋体"/>
          <w:color w:val="000000"/>
          <w:sz w:val="24"/>
          <w:szCs w:val="24"/>
          <w:lang w:bidi="ar"/>
        </w:rPr>
        <w:t>责任。</w:t>
      </w:r>
    </w:p>
    <w:p w14:paraId="05B2A0A0">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第九条 </w:t>
      </w:r>
      <w:r>
        <w:rPr>
          <w:rFonts w:hint="eastAsia" w:ascii="Times New Roman" w:hAnsi="Times New Roman" w:eastAsia="仿宋_GB2312" w:cs="宋体"/>
          <w:b/>
          <w:bCs/>
          <w:color w:val="000000"/>
          <w:sz w:val="24"/>
          <w:szCs w:val="24"/>
          <w:lang w:bidi="ar"/>
        </w:rPr>
        <w:t>乙方的权利和义务</w:t>
      </w:r>
    </w:p>
    <w:p w14:paraId="693C7156">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对本合同规定的委托服务范围内的项目享有管理权及</w:t>
      </w:r>
      <w:r>
        <w:rPr>
          <w:rFonts w:hint="eastAsia" w:ascii="Times New Roman" w:hAnsi="Times New Roman" w:eastAsia="仿宋_GB2312" w:cs="宋体"/>
          <w:color w:val="000000"/>
          <w:sz w:val="24"/>
          <w:szCs w:val="24"/>
          <w:lang w:eastAsia="zh-CN" w:bidi="ar"/>
        </w:rPr>
        <w:t>承担服</w:t>
      </w:r>
      <w:r>
        <w:rPr>
          <w:rFonts w:hint="eastAsia" w:ascii="Times New Roman" w:hAnsi="Times New Roman" w:eastAsia="仿宋_GB2312" w:cs="宋体"/>
          <w:color w:val="000000"/>
          <w:sz w:val="24"/>
          <w:szCs w:val="24"/>
          <w:lang w:bidi="ar"/>
        </w:rPr>
        <w:t>务义务。</w:t>
      </w:r>
    </w:p>
    <w:p w14:paraId="0E04AE66">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根据本合同的规定向甲方收取相关服务费用，并有权在本项目管理范围内管理及合理使用。</w:t>
      </w:r>
    </w:p>
    <w:p w14:paraId="09C9DB76">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及时向甲方通告本项目服务范围内有关服务的重大事项，及时配合处理投诉。</w:t>
      </w:r>
    </w:p>
    <w:p w14:paraId="154DE6BC">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接受项目行业管理部门及政府有关部门的指导，接受甲方的监督。</w:t>
      </w:r>
    </w:p>
    <w:p w14:paraId="2E811330">
      <w:pPr>
        <w:widowControl/>
        <w:spacing w:line="360" w:lineRule="auto"/>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国家法律、法规所规定由乙方承担的</w:t>
      </w:r>
      <w:r>
        <w:rPr>
          <w:rFonts w:hint="eastAsia" w:ascii="Times New Roman" w:hAnsi="Times New Roman" w:eastAsia="仿宋_GB2312" w:cs="宋体"/>
          <w:color w:val="000000"/>
          <w:sz w:val="24"/>
          <w:szCs w:val="24"/>
          <w:lang w:eastAsia="zh-CN" w:bidi="ar"/>
        </w:rPr>
        <w:t>其他</w:t>
      </w:r>
      <w:r>
        <w:rPr>
          <w:rFonts w:hint="eastAsia" w:ascii="Times New Roman" w:hAnsi="Times New Roman" w:eastAsia="仿宋_GB2312" w:cs="宋体"/>
          <w:color w:val="000000"/>
          <w:sz w:val="24"/>
          <w:szCs w:val="24"/>
          <w:lang w:bidi="ar"/>
        </w:rPr>
        <w:t>责任。</w:t>
      </w:r>
    </w:p>
    <w:p w14:paraId="3D272D0C">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第十条 </w:t>
      </w:r>
      <w:r>
        <w:rPr>
          <w:rFonts w:hint="eastAsia" w:ascii="Times New Roman" w:hAnsi="Times New Roman" w:eastAsia="仿宋_GB2312" w:cs="宋体"/>
          <w:b/>
          <w:bCs/>
          <w:color w:val="000000"/>
          <w:sz w:val="24"/>
          <w:szCs w:val="24"/>
          <w:lang w:bidi="ar"/>
        </w:rPr>
        <w:t>违约责任</w:t>
      </w:r>
    </w:p>
    <w:p w14:paraId="7882CCF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甲乙双方必须遵守本合同并执行合同中的各项规定，保证本合同的正常履行。</w:t>
      </w:r>
    </w:p>
    <w:p w14:paraId="18CA2D9C">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如因乙方工作人员在履行职务过程中</w:t>
      </w:r>
      <w:r>
        <w:rPr>
          <w:rFonts w:hint="eastAsia" w:ascii="Times New Roman" w:hAnsi="Times New Roman" w:eastAsia="仿宋_GB2312" w:cs="宋体"/>
          <w:color w:val="000000"/>
          <w:sz w:val="24"/>
          <w:szCs w:val="24"/>
          <w:lang w:eastAsia="zh-CN" w:bidi="ar"/>
        </w:rPr>
        <w:t>的</w:t>
      </w:r>
      <w:r>
        <w:rPr>
          <w:rFonts w:hint="eastAsia" w:ascii="Times New Roman" w:hAnsi="Times New Roman" w:eastAsia="仿宋_GB2312" w:cs="宋体"/>
          <w:color w:val="000000"/>
          <w:sz w:val="24"/>
          <w:szCs w:val="24"/>
          <w:lang w:bidi="ar"/>
        </w:rPr>
        <w:t>疏忽、失职、过错等故意或者过失原因给甲方造成损失或侵害，包括但不限于甲方本身的财产损失、由此而导致的甲方对任何第三方的法律责任等，乙方对此均应承担全部的赔偿责任。</w:t>
      </w:r>
    </w:p>
    <w:p w14:paraId="5AC5F043">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第十一条 </w:t>
      </w:r>
      <w:r>
        <w:rPr>
          <w:rFonts w:hint="eastAsia" w:ascii="Times New Roman" w:hAnsi="Times New Roman" w:eastAsia="仿宋_GB2312" w:cs="宋体"/>
          <w:b/>
          <w:bCs/>
          <w:color w:val="000000"/>
          <w:sz w:val="24"/>
          <w:szCs w:val="24"/>
          <w:lang w:bidi="ar"/>
        </w:rPr>
        <w:t>不可抗力事件处理</w:t>
      </w:r>
    </w:p>
    <w:p w14:paraId="2FCA441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在合同有效期内，任何一方因不可抗力事件导致不能履行合同，则合同履行期可延长，其延长期与不可抗力影响期相同。</w:t>
      </w:r>
    </w:p>
    <w:p w14:paraId="0B018DC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不可抗力事件发生后，应立即通知对方，并寄送有关权威机构出具的证明。</w:t>
      </w:r>
    </w:p>
    <w:p w14:paraId="4A6C73A1">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不可抗力事件延续120天以上，双方应通过友好协商，确定是否继续履行合同。</w:t>
      </w:r>
    </w:p>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14:paraId="740761F9">
      <w:pPr>
        <w:widowControl/>
        <w:spacing w:line="360" w:lineRule="auto"/>
        <w:jc w:val="left"/>
        <w:textAlignment w:val="center"/>
        <w:rPr>
          <w:rFonts w:hint="eastAsia" w:ascii="Times New Roman" w:hAnsi="Times New Roman" w:eastAsia="仿宋_GB2312" w:cs="宋体"/>
          <w:b/>
          <w:bCs/>
          <w:color w:val="000000"/>
          <w:sz w:val="24"/>
          <w:szCs w:val="24"/>
          <w:lang w:bidi="ar"/>
        </w:rPr>
      </w:pPr>
      <w:bookmarkStart w:id="36" w:name="_Toc239233919"/>
      <w:bookmarkStart w:id="37" w:name="_Toc241833908"/>
      <w:bookmarkStart w:id="38" w:name="_Toc211911353"/>
      <w:bookmarkStart w:id="39" w:name="_Toc225244857"/>
      <w:bookmarkStart w:id="40" w:name="_Toc237145411"/>
      <w:bookmarkStart w:id="41" w:name="_Toc286993792"/>
      <w:bookmarkStart w:id="42" w:name="_Toc225670756"/>
      <w:bookmarkStart w:id="43" w:name="_Toc251768867"/>
      <w:bookmarkStart w:id="44" w:name="_Toc238984980"/>
      <w:bookmarkStart w:id="45" w:name="_Toc225654649"/>
      <w:bookmarkStart w:id="46" w:name="_Toc185395254"/>
      <w:bookmarkStart w:id="47" w:name="_Toc239568423"/>
      <w:bookmarkStart w:id="48" w:name="_Toc232492933"/>
      <w:bookmarkStart w:id="49" w:name="_Toc212019599"/>
      <w:bookmarkStart w:id="50" w:name="_Toc247334846"/>
      <w:bookmarkStart w:id="51" w:name="_Toc211854454"/>
      <w:r>
        <w:rPr>
          <w:rFonts w:hint="eastAsia" w:ascii="Times New Roman" w:hAnsi="Times New Roman" w:eastAsia="仿宋_GB2312" w:cs="宋体"/>
          <w:b/>
          <w:bCs/>
          <w:color w:val="000000"/>
          <w:sz w:val="24"/>
          <w:szCs w:val="24"/>
          <w:lang w:val="en-US" w:eastAsia="zh-CN" w:bidi="ar"/>
        </w:rPr>
        <w:t xml:space="preserve">第十二条 </w:t>
      </w:r>
      <w:r>
        <w:rPr>
          <w:rFonts w:hint="eastAsia" w:ascii="Times New Roman" w:hAnsi="Times New Roman" w:eastAsia="仿宋_GB2312" w:cs="宋体"/>
          <w:b/>
          <w:bCs/>
          <w:color w:val="000000"/>
          <w:sz w:val="24"/>
          <w:szCs w:val="24"/>
          <w:lang w:bidi="ar"/>
        </w:rPr>
        <w:t>解决合同纠纷的方式</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7BCCAB04">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在执行本合同中发生的或与本合同有关的争端，双方应通过友好协商解决，经协商在60天内不能达成协议时，应提交成都仲裁委员会仲裁。</w:t>
      </w:r>
    </w:p>
    <w:p w14:paraId="3B158A3C">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仲裁裁决应为最终决定，并对双方具有约束力。</w:t>
      </w:r>
    </w:p>
    <w:p w14:paraId="5748E24F">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 xml:space="preserve">除另有裁决外，仲裁费应由败诉方负担。 </w:t>
      </w:r>
    </w:p>
    <w:p w14:paraId="3DF52162">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 xml:space="preserve">在仲裁期间，除正在进行仲裁部分外，合同其他部分继续执行。  </w:t>
      </w:r>
    </w:p>
    <w:p w14:paraId="6FCF3AD4">
      <w:pPr>
        <w:widowControl/>
        <w:spacing w:line="360" w:lineRule="auto"/>
        <w:jc w:val="left"/>
        <w:textAlignment w:val="center"/>
        <w:rPr>
          <w:rFonts w:hint="eastAsia" w:ascii="Times New Roman" w:hAnsi="Times New Roman" w:eastAsia="仿宋_GB2312" w:cs="宋体"/>
          <w:b/>
          <w:bCs/>
          <w:color w:val="000000"/>
          <w:sz w:val="24"/>
          <w:szCs w:val="24"/>
          <w:lang w:bidi="ar"/>
        </w:rPr>
      </w:pPr>
      <w:bookmarkStart w:id="52" w:name="_Toc251768868"/>
      <w:bookmarkStart w:id="53" w:name="_Toc283019219"/>
      <w:bookmarkStart w:id="54" w:name="_Toc239568424"/>
      <w:bookmarkStart w:id="55" w:name="_Toc239233920"/>
      <w:bookmarkStart w:id="56" w:name="_Toc225670757"/>
      <w:bookmarkStart w:id="57" w:name="_Toc225244858"/>
      <w:bookmarkStart w:id="58" w:name="_Toc237145412"/>
      <w:bookmarkStart w:id="59" w:name="_Toc247334847"/>
      <w:bookmarkStart w:id="60" w:name="_Toc211911354"/>
      <w:bookmarkStart w:id="61" w:name="_Toc238984981"/>
      <w:bookmarkStart w:id="62" w:name="_Toc286993793"/>
      <w:bookmarkStart w:id="63" w:name="_Toc225654650"/>
      <w:bookmarkStart w:id="64" w:name="_Toc241833909"/>
      <w:bookmarkStart w:id="65" w:name="_Toc185395255"/>
      <w:bookmarkStart w:id="66" w:name="_Toc232492934"/>
      <w:bookmarkStart w:id="67" w:name="_Toc211854455"/>
      <w:bookmarkStart w:id="68" w:name="_Toc282696231"/>
      <w:bookmarkStart w:id="69" w:name="_Toc212019600"/>
      <w:r>
        <w:rPr>
          <w:rFonts w:hint="eastAsia" w:ascii="Times New Roman" w:hAnsi="Times New Roman" w:eastAsia="仿宋_GB2312" w:cs="宋体"/>
          <w:b/>
          <w:bCs/>
          <w:color w:val="000000"/>
          <w:sz w:val="24"/>
          <w:szCs w:val="24"/>
          <w:lang w:val="en-US" w:eastAsia="zh-CN" w:bidi="ar"/>
        </w:rPr>
        <w:t xml:space="preserve">第十三条 </w:t>
      </w:r>
      <w:r>
        <w:rPr>
          <w:rFonts w:hint="eastAsia" w:ascii="Times New Roman" w:hAnsi="Times New Roman" w:eastAsia="仿宋_GB2312" w:cs="宋体"/>
          <w:b/>
          <w:bCs/>
          <w:color w:val="000000"/>
          <w:sz w:val="24"/>
          <w:szCs w:val="24"/>
          <w:lang w:bidi="ar"/>
        </w:rPr>
        <w:t>合同</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r>
        <w:rPr>
          <w:rFonts w:hint="eastAsia" w:ascii="Times New Roman" w:hAnsi="Times New Roman" w:eastAsia="仿宋_GB2312" w:cs="宋体"/>
          <w:b/>
          <w:bCs/>
          <w:color w:val="000000"/>
          <w:sz w:val="24"/>
          <w:szCs w:val="24"/>
          <w:lang w:bidi="ar"/>
        </w:rPr>
        <w:t>生效</w:t>
      </w:r>
    </w:p>
    <w:p w14:paraId="5C8CCB95">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合同经双方法定代表人/单位负责人或授权委托代理人签字并加盖单位公章后生效。</w:t>
      </w:r>
    </w:p>
    <w:p w14:paraId="457E7CAE">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合同执行中涉及采购资金和采购内容修改或补充的，须经政府采购监管部门审批，并</w:t>
      </w:r>
      <w:r>
        <w:rPr>
          <w:rFonts w:hint="eastAsia" w:ascii="Times New Roman" w:hAnsi="Times New Roman" w:eastAsia="仿宋_GB2312" w:cs="宋体"/>
          <w:color w:val="000000"/>
          <w:sz w:val="24"/>
          <w:szCs w:val="24"/>
          <w:lang w:eastAsia="zh-CN" w:bidi="ar"/>
        </w:rPr>
        <w:t>签订</w:t>
      </w:r>
      <w:r>
        <w:rPr>
          <w:rFonts w:hint="eastAsia" w:ascii="Times New Roman" w:hAnsi="Times New Roman" w:eastAsia="仿宋_GB2312" w:cs="宋体"/>
          <w:color w:val="000000"/>
          <w:sz w:val="24"/>
          <w:szCs w:val="24"/>
          <w:lang w:bidi="ar"/>
        </w:rPr>
        <w:t>书面补充协议报政府采购监督管理部门备案，方可作为主合同不可分割的一部分。</w:t>
      </w:r>
    </w:p>
    <w:p w14:paraId="73070749">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第十四条 </w:t>
      </w:r>
      <w:r>
        <w:rPr>
          <w:rFonts w:hint="eastAsia" w:ascii="Times New Roman" w:hAnsi="Times New Roman" w:eastAsia="仿宋_GB2312" w:cs="宋体"/>
          <w:b/>
          <w:bCs/>
          <w:color w:val="000000"/>
          <w:sz w:val="24"/>
          <w:szCs w:val="24"/>
          <w:lang w:bidi="ar"/>
        </w:rPr>
        <w:t>附件</w:t>
      </w:r>
    </w:p>
    <w:p w14:paraId="5519331B">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1.</w:t>
      </w:r>
      <w:r>
        <w:rPr>
          <w:rFonts w:hint="eastAsia" w:ascii="Times New Roman" w:hAnsi="Times New Roman" w:eastAsia="仿宋_GB2312" w:cs="宋体"/>
          <w:color w:val="000000"/>
          <w:sz w:val="24"/>
          <w:szCs w:val="24"/>
          <w:lang w:bidi="ar"/>
        </w:rPr>
        <w:t>项目</w:t>
      </w:r>
      <w:r>
        <w:rPr>
          <w:rFonts w:hint="eastAsia" w:ascii="Times New Roman" w:hAnsi="Times New Roman" w:eastAsia="仿宋_GB2312" w:cs="宋体"/>
          <w:color w:val="000000"/>
          <w:sz w:val="24"/>
          <w:szCs w:val="24"/>
          <w:lang w:eastAsia="zh-CN" w:bidi="ar"/>
        </w:rPr>
        <w:t>邀标</w:t>
      </w:r>
      <w:r>
        <w:rPr>
          <w:rFonts w:hint="eastAsia" w:ascii="Times New Roman" w:hAnsi="Times New Roman" w:eastAsia="仿宋_GB2312" w:cs="宋体"/>
          <w:color w:val="000000"/>
          <w:sz w:val="24"/>
          <w:szCs w:val="24"/>
          <w:lang w:bidi="ar"/>
        </w:rPr>
        <w:t>文件</w:t>
      </w:r>
    </w:p>
    <w:p w14:paraId="71B6F9D9">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2.</w:t>
      </w:r>
      <w:r>
        <w:rPr>
          <w:rFonts w:hint="eastAsia" w:ascii="Times New Roman" w:hAnsi="Times New Roman" w:eastAsia="仿宋_GB2312" w:cs="宋体"/>
          <w:color w:val="000000"/>
          <w:sz w:val="24"/>
          <w:szCs w:val="24"/>
          <w:lang w:bidi="ar"/>
        </w:rPr>
        <w:t>项目修改澄清文件</w:t>
      </w:r>
    </w:p>
    <w:p w14:paraId="45A19A7A">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3.</w:t>
      </w:r>
      <w:r>
        <w:rPr>
          <w:rFonts w:hint="eastAsia" w:ascii="Times New Roman" w:hAnsi="Times New Roman" w:eastAsia="仿宋_GB2312" w:cs="宋体"/>
          <w:color w:val="000000"/>
          <w:sz w:val="24"/>
          <w:szCs w:val="24"/>
          <w:lang w:bidi="ar"/>
        </w:rPr>
        <w:t>项目投标文件</w:t>
      </w:r>
    </w:p>
    <w:p w14:paraId="0626E941">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4.</w:t>
      </w:r>
      <w:r>
        <w:rPr>
          <w:rFonts w:hint="eastAsia" w:ascii="Times New Roman" w:hAnsi="Times New Roman" w:eastAsia="仿宋_GB2312" w:cs="宋体"/>
          <w:color w:val="000000"/>
          <w:sz w:val="24"/>
          <w:szCs w:val="24"/>
          <w:lang w:bidi="ar"/>
        </w:rPr>
        <w:t>中标通知书</w:t>
      </w:r>
    </w:p>
    <w:p w14:paraId="35E5EB2D">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val="en-US" w:eastAsia="zh-CN" w:bidi="ar"/>
        </w:rPr>
        <w:t>5.</w:t>
      </w:r>
      <w:r>
        <w:rPr>
          <w:rFonts w:hint="eastAsia" w:ascii="Times New Roman" w:hAnsi="Times New Roman" w:eastAsia="仿宋_GB2312" w:cs="宋体"/>
          <w:color w:val="000000"/>
          <w:sz w:val="24"/>
          <w:szCs w:val="24"/>
          <w:lang w:bidi="ar"/>
        </w:rPr>
        <w:t>其他</w:t>
      </w:r>
    </w:p>
    <w:bookmarkEnd w:id="17"/>
    <w:p w14:paraId="7070671C">
      <w:pPr>
        <w:widowControl/>
        <w:spacing w:line="360" w:lineRule="auto"/>
        <w:jc w:val="left"/>
        <w:textAlignment w:val="center"/>
        <w:rPr>
          <w:rFonts w:hint="eastAsia" w:ascii="Times New Roman" w:hAnsi="Times New Roman" w:eastAsia="仿宋_GB2312" w:cs="宋体"/>
          <w:b/>
          <w:bCs/>
          <w:color w:val="000000"/>
          <w:sz w:val="24"/>
          <w:szCs w:val="24"/>
          <w:lang w:bidi="ar"/>
        </w:rPr>
      </w:pPr>
      <w:r>
        <w:rPr>
          <w:rFonts w:hint="eastAsia" w:ascii="Times New Roman" w:hAnsi="Times New Roman" w:eastAsia="仿宋_GB2312" w:cs="宋体"/>
          <w:b/>
          <w:bCs/>
          <w:color w:val="000000"/>
          <w:sz w:val="24"/>
          <w:szCs w:val="24"/>
          <w:lang w:val="en-US" w:eastAsia="zh-CN" w:bidi="ar"/>
        </w:rPr>
        <w:t xml:space="preserve">第十五条 </w:t>
      </w:r>
      <w:r>
        <w:rPr>
          <w:rFonts w:hint="eastAsia" w:ascii="Times New Roman" w:hAnsi="Times New Roman" w:eastAsia="仿宋_GB2312" w:cs="宋体"/>
          <w:b/>
          <w:bCs/>
          <w:color w:val="000000"/>
          <w:sz w:val="24"/>
          <w:szCs w:val="24"/>
          <w:lang w:bidi="ar"/>
        </w:rPr>
        <w:t>其他</w:t>
      </w:r>
    </w:p>
    <w:p w14:paraId="711A25E5">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bidi="ar"/>
        </w:rPr>
      </w:pPr>
      <w:r>
        <w:rPr>
          <w:rFonts w:hint="eastAsia" w:ascii="Times New Roman" w:hAnsi="Times New Roman" w:eastAsia="仿宋_GB2312" w:cs="宋体"/>
          <w:color w:val="000000"/>
          <w:sz w:val="24"/>
          <w:szCs w:val="24"/>
          <w:lang w:bidi="ar"/>
        </w:rPr>
        <w:t>1、如有未尽事宜，由双方依法订立补充合同。</w:t>
      </w:r>
    </w:p>
    <w:p w14:paraId="2229A55E">
      <w:pPr>
        <w:widowControl/>
        <w:spacing w:line="360" w:lineRule="auto"/>
        <w:ind w:firstLine="420" w:firstLineChars="0"/>
        <w:jc w:val="left"/>
        <w:textAlignment w:val="center"/>
        <w:rPr>
          <w:rFonts w:hint="eastAsia" w:ascii="Times New Roman" w:hAnsi="Times New Roman" w:eastAsia="仿宋_GB2312" w:cs="宋体"/>
          <w:color w:val="000000"/>
          <w:sz w:val="24"/>
          <w:szCs w:val="24"/>
          <w:lang w:eastAsia="zh-CN" w:bidi="ar"/>
        </w:rPr>
      </w:pPr>
      <w:r>
        <w:rPr>
          <w:rFonts w:hint="eastAsia" w:ascii="Times New Roman" w:hAnsi="Times New Roman" w:eastAsia="仿宋_GB2312" w:cs="宋体"/>
          <w:color w:val="000000"/>
          <w:sz w:val="24"/>
          <w:szCs w:val="24"/>
          <w:lang w:bidi="ar"/>
        </w:rPr>
        <w:t>2、本合同一式</w:t>
      </w:r>
      <w:r>
        <w:rPr>
          <w:rFonts w:hint="eastAsia" w:ascii="Times New Roman" w:hAnsi="Times New Roman" w:eastAsia="仿宋_GB2312" w:cs="宋体"/>
          <w:color w:val="000000"/>
          <w:sz w:val="24"/>
          <w:szCs w:val="24"/>
          <w:lang w:val="en-US" w:eastAsia="zh-CN" w:bidi="ar"/>
        </w:rPr>
        <w:t>四</w:t>
      </w:r>
      <w:r>
        <w:rPr>
          <w:rFonts w:hint="eastAsia" w:ascii="Times New Roman" w:hAnsi="Times New Roman" w:eastAsia="仿宋_GB2312" w:cs="宋体"/>
          <w:color w:val="000000"/>
          <w:sz w:val="24"/>
          <w:szCs w:val="24"/>
          <w:lang w:bidi="ar"/>
        </w:rPr>
        <w:t>份，自双方签章之日起生效。甲乙</w:t>
      </w:r>
      <w:r>
        <w:rPr>
          <w:rFonts w:hint="eastAsia" w:ascii="Times New Roman" w:hAnsi="Times New Roman" w:eastAsia="仿宋_GB2312" w:cs="宋体"/>
          <w:color w:val="000000"/>
          <w:sz w:val="24"/>
          <w:szCs w:val="24"/>
          <w:lang w:val="en-US" w:eastAsia="zh-CN" w:bidi="ar"/>
        </w:rPr>
        <w:t>双</w:t>
      </w:r>
      <w:r>
        <w:rPr>
          <w:rFonts w:hint="eastAsia" w:ascii="Times New Roman" w:hAnsi="Times New Roman" w:eastAsia="仿宋_GB2312" w:cs="宋体"/>
          <w:color w:val="000000"/>
          <w:sz w:val="24"/>
          <w:szCs w:val="24"/>
          <w:lang w:bidi="ar"/>
        </w:rPr>
        <w:t>方</w:t>
      </w:r>
      <w:r>
        <w:rPr>
          <w:rFonts w:hint="eastAsia" w:ascii="Times New Roman" w:hAnsi="Times New Roman" w:eastAsia="仿宋_GB2312" w:cs="宋体"/>
          <w:color w:val="000000"/>
          <w:sz w:val="24"/>
          <w:szCs w:val="24"/>
          <w:lang w:val="en-US" w:eastAsia="zh-CN" w:bidi="ar"/>
        </w:rPr>
        <w:t>各执贰份</w:t>
      </w:r>
      <w:r>
        <w:rPr>
          <w:rFonts w:hint="eastAsia" w:ascii="Times New Roman" w:hAnsi="Times New Roman" w:eastAsia="仿宋_GB2312" w:cs="宋体"/>
          <w:color w:val="000000"/>
          <w:sz w:val="24"/>
          <w:szCs w:val="24"/>
          <w:lang w:eastAsia="zh-CN" w:bidi="ar"/>
        </w:rPr>
        <w:t>。</w:t>
      </w:r>
    </w:p>
    <w:p w14:paraId="2CA2AE5F">
      <w:pPr>
        <w:widowControl/>
        <w:spacing w:line="360" w:lineRule="auto"/>
        <w:jc w:val="left"/>
        <w:textAlignment w:val="center"/>
        <w:rPr>
          <w:rFonts w:hint="eastAsia" w:ascii="Times New Roman" w:hAnsi="Times New Roman" w:eastAsia="仿宋_GB2312" w:cs="宋体"/>
          <w:color w:val="000000"/>
          <w:sz w:val="24"/>
          <w:szCs w:val="24"/>
          <w:lang w:bidi="ar"/>
        </w:rPr>
      </w:pP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0282A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48F1888F">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甲</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 xml:space="preserve">方：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 xml:space="preserve">（盖章） </w:t>
            </w:r>
          </w:p>
        </w:tc>
        <w:tc>
          <w:tcPr>
            <w:tcW w:w="4261" w:type="dxa"/>
          </w:tcPr>
          <w:p w14:paraId="5EBAB7A1">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乙</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 xml:space="preserve">方：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（盖章）</w:t>
            </w:r>
          </w:p>
        </w:tc>
      </w:tr>
      <w:tr w14:paraId="1D519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582F34AC">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法定代表人（授权代表）：</w:t>
            </w:r>
          </w:p>
        </w:tc>
        <w:tc>
          <w:tcPr>
            <w:tcW w:w="4261" w:type="dxa"/>
          </w:tcPr>
          <w:p w14:paraId="4D2C86EE">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法定代表人（授权代表）：</w:t>
            </w:r>
          </w:p>
        </w:tc>
      </w:tr>
      <w:tr w14:paraId="03DE3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33780CAA">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地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址：</w:t>
            </w:r>
          </w:p>
        </w:tc>
        <w:tc>
          <w:tcPr>
            <w:tcW w:w="4261" w:type="dxa"/>
          </w:tcPr>
          <w:p w14:paraId="182A244A">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地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址：</w:t>
            </w:r>
          </w:p>
        </w:tc>
      </w:tr>
      <w:tr w14:paraId="19D89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1E9B24F9">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开户银行：</w:t>
            </w:r>
          </w:p>
        </w:tc>
        <w:tc>
          <w:tcPr>
            <w:tcW w:w="4261" w:type="dxa"/>
          </w:tcPr>
          <w:p w14:paraId="64DDBDC8">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开户银行：</w:t>
            </w:r>
          </w:p>
        </w:tc>
      </w:tr>
      <w:tr w14:paraId="0CC9A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22EA027D">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账</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号：</w:t>
            </w:r>
          </w:p>
        </w:tc>
        <w:tc>
          <w:tcPr>
            <w:tcW w:w="4261" w:type="dxa"/>
          </w:tcPr>
          <w:p w14:paraId="2250843D">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账</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号：</w:t>
            </w:r>
          </w:p>
        </w:tc>
      </w:tr>
      <w:tr w14:paraId="24E09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1F189A9E">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电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话：</w:t>
            </w:r>
          </w:p>
        </w:tc>
        <w:tc>
          <w:tcPr>
            <w:tcW w:w="4261" w:type="dxa"/>
          </w:tcPr>
          <w:p w14:paraId="6D05372D">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 xml:space="preserve">电  </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话：</w:t>
            </w:r>
          </w:p>
        </w:tc>
      </w:tr>
      <w:tr w14:paraId="2647E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7CD5B25A">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日</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期：</w:t>
            </w:r>
          </w:p>
        </w:tc>
        <w:tc>
          <w:tcPr>
            <w:tcW w:w="4261" w:type="dxa"/>
          </w:tcPr>
          <w:p w14:paraId="70CB0B4C">
            <w:pPr>
              <w:widowControl/>
              <w:spacing w:line="360" w:lineRule="auto"/>
              <w:jc w:val="left"/>
              <w:textAlignment w:val="center"/>
              <w:rPr>
                <w:rFonts w:hint="eastAsia" w:ascii="Times New Roman" w:hAnsi="Times New Roman" w:eastAsia="仿宋_GB2312" w:cs="宋体"/>
                <w:color w:val="000000"/>
                <w:sz w:val="24"/>
                <w:szCs w:val="24"/>
                <w:vertAlign w:val="baseline"/>
                <w:lang w:bidi="ar"/>
              </w:rPr>
            </w:pPr>
            <w:r>
              <w:rPr>
                <w:rFonts w:hint="eastAsia" w:ascii="Times New Roman" w:hAnsi="Times New Roman" w:eastAsia="仿宋_GB2312" w:cs="宋体"/>
                <w:color w:val="000000"/>
                <w:sz w:val="24"/>
                <w:szCs w:val="24"/>
                <w:lang w:bidi="ar"/>
              </w:rPr>
              <w:t>日</w:t>
            </w:r>
            <w:r>
              <w:rPr>
                <w:rFonts w:hint="eastAsia" w:ascii="Times New Roman" w:hAnsi="Times New Roman" w:eastAsia="仿宋_GB2312" w:cs="宋体"/>
                <w:color w:val="000000"/>
                <w:sz w:val="24"/>
                <w:szCs w:val="24"/>
                <w:lang w:val="en-US" w:eastAsia="zh-CN" w:bidi="ar"/>
              </w:rPr>
              <w:t xml:space="preserve">    </w:t>
            </w:r>
            <w:r>
              <w:rPr>
                <w:rFonts w:hint="eastAsia" w:ascii="Times New Roman" w:hAnsi="Times New Roman" w:eastAsia="仿宋_GB2312" w:cs="宋体"/>
                <w:color w:val="000000"/>
                <w:sz w:val="24"/>
                <w:szCs w:val="24"/>
                <w:lang w:bidi="ar"/>
              </w:rPr>
              <w:t>期：</w:t>
            </w:r>
          </w:p>
        </w:tc>
      </w:tr>
    </w:tbl>
    <w:p w14:paraId="69045FB6">
      <w:pPr>
        <w:widowControl/>
        <w:spacing w:line="360" w:lineRule="auto"/>
        <w:jc w:val="left"/>
        <w:textAlignment w:val="center"/>
        <w:rPr>
          <w:rFonts w:hint="eastAsia" w:ascii="Times New Roman" w:hAnsi="Times New Roman" w:eastAsia="仿宋_GB2312"/>
          <w:b/>
          <w:sz w:val="24"/>
          <w:szCs w:val="24"/>
        </w:rPr>
      </w:pPr>
    </w:p>
    <w:sectPr>
      <w:headerReference r:id="rId11" w:type="default"/>
      <w:footerReference r:id="rId12"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Eʩ">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D760F">
    <w:pPr>
      <w:pStyle w:val="9"/>
      <w:framePr w:wrap="around" w:vAnchor="text" w:hAnchor="margin" w:xAlign="center" w:y="1"/>
      <w:rPr>
        <w:rStyle w:val="21"/>
      </w:rPr>
    </w:pPr>
  </w:p>
  <w:p w14:paraId="3F12B83D">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A0308">
    <w:pPr>
      <w:pStyle w:val="9"/>
      <w:framePr w:wrap="around" w:vAnchor="text" w:hAnchor="margin" w:xAlign="center" w:y="1"/>
      <w:rPr>
        <w:rStyle w:val="21"/>
      </w:rPr>
    </w:pPr>
    <w:r>
      <w:fldChar w:fldCharType="begin"/>
    </w:r>
    <w:r>
      <w:rPr>
        <w:rStyle w:val="21"/>
      </w:rPr>
      <w:instrText xml:space="preserve">PAGE  </w:instrText>
    </w:r>
    <w:r>
      <w:fldChar w:fldCharType="separate"/>
    </w:r>
    <w:r>
      <w:rPr>
        <w:rStyle w:val="21"/>
      </w:rPr>
      <w:t>1</w:t>
    </w:r>
    <w:r>
      <w:fldChar w:fldCharType="end"/>
    </w:r>
  </w:p>
  <w:p w14:paraId="55958A0B">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23F60">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55CAA">
    <w:pPr>
      <w:pStyle w:val="9"/>
      <w:rPr>
        <w:rStyle w:val="21"/>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89E433">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D89E433">
                    <w:pPr>
                      <w:pStyle w:val="9"/>
                    </w:pPr>
                    <w:r>
                      <w:fldChar w:fldCharType="begin"/>
                    </w:r>
                    <w:r>
                      <w:instrText xml:space="preserve"> PAGE  \* MERGEFORMAT </w:instrText>
                    </w:r>
                    <w:r>
                      <w:fldChar w:fldCharType="separate"/>
                    </w:r>
                    <w:r>
                      <w:t>1</w:t>
                    </w:r>
                    <w:r>
                      <w:fldChar w:fldCharType="end"/>
                    </w:r>
                  </w:p>
                </w:txbxContent>
              </v:textbox>
            </v:shape>
          </w:pict>
        </mc:Fallback>
      </mc:AlternateContent>
    </w:r>
  </w:p>
  <w:p w14:paraId="1B7AAF14">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0778E">
    <w:pPr>
      <w:pStyle w:val="9"/>
      <w:rPr>
        <w:rStyle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8B45AA">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8B45AA">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Style w:val="21"/>
        <w:rFonts w:hint="eastAsia"/>
        <w:lang w:eastAsia="zh-CN"/>
      </w:rPr>
      <w:tab/>
    </w:r>
  </w:p>
  <w:p w14:paraId="7A664C80">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6A5B6">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60C2F">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5C8E5">
    <w:pPr>
      <w:pStyle w:val="1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644AA"/>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FE70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8EFE4E"/>
    <w:multiLevelType w:val="singleLevel"/>
    <w:tmpl w:val="FD8EFE4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5YWZmOWEwNWNkZDk1MjYxMGRmZDFkYzVhMTNjNjgifQ=="/>
  </w:docVars>
  <w:rsids>
    <w:rsidRoot w:val="00402610"/>
    <w:rsid w:val="00035ECF"/>
    <w:rsid w:val="000B6CDF"/>
    <w:rsid w:val="001E47D3"/>
    <w:rsid w:val="00247B68"/>
    <w:rsid w:val="002535A8"/>
    <w:rsid w:val="00277C32"/>
    <w:rsid w:val="003070D9"/>
    <w:rsid w:val="003401CF"/>
    <w:rsid w:val="00372A4C"/>
    <w:rsid w:val="003C5D88"/>
    <w:rsid w:val="00402610"/>
    <w:rsid w:val="005F1B16"/>
    <w:rsid w:val="00764888"/>
    <w:rsid w:val="00767112"/>
    <w:rsid w:val="00852384"/>
    <w:rsid w:val="00871EAC"/>
    <w:rsid w:val="009038AF"/>
    <w:rsid w:val="009D1412"/>
    <w:rsid w:val="00B919D4"/>
    <w:rsid w:val="00C671B8"/>
    <w:rsid w:val="00D22661"/>
    <w:rsid w:val="00E81120"/>
    <w:rsid w:val="00E82F2C"/>
    <w:rsid w:val="00FA297B"/>
    <w:rsid w:val="03D55951"/>
    <w:rsid w:val="03FB03BA"/>
    <w:rsid w:val="05421D44"/>
    <w:rsid w:val="05482B7C"/>
    <w:rsid w:val="05D740C3"/>
    <w:rsid w:val="05E91077"/>
    <w:rsid w:val="0B0F05E6"/>
    <w:rsid w:val="0BE249DC"/>
    <w:rsid w:val="0BF95B27"/>
    <w:rsid w:val="0C361A2E"/>
    <w:rsid w:val="150F33E1"/>
    <w:rsid w:val="19102702"/>
    <w:rsid w:val="1A8A060F"/>
    <w:rsid w:val="1B6D740F"/>
    <w:rsid w:val="1BD13127"/>
    <w:rsid w:val="1C1F3F86"/>
    <w:rsid w:val="1C2416AE"/>
    <w:rsid w:val="1FFE12DE"/>
    <w:rsid w:val="20BE432F"/>
    <w:rsid w:val="20CD291A"/>
    <w:rsid w:val="21681D2D"/>
    <w:rsid w:val="22E400B5"/>
    <w:rsid w:val="2519119D"/>
    <w:rsid w:val="26066D31"/>
    <w:rsid w:val="27A67BCF"/>
    <w:rsid w:val="28C11323"/>
    <w:rsid w:val="28F4531F"/>
    <w:rsid w:val="2A1F3C14"/>
    <w:rsid w:val="2A994305"/>
    <w:rsid w:val="2C86688B"/>
    <w:rsid w:val="2D061FDB"/>
    <w:rsid w:val="2D6E482E"/>
    <w:rsid w:val="341463C8"/>
    <w:rsid w:val="347E6524"/>
    <w:rsid w:val="35FB1666"/>
    <w:rsid w:val="378F1C96"/>
    <w:rsid w:val="391159AF"/>
    <w:rsid w:val="3C101F4E"/>
    <w:rsid w:val="3E495BEB"/>
    <w:rsid w:val="3FD63670"/>
    <w:rsid w:val="420F4884"/>
    <w:rsid w:val="42CA7AE3"/>
    <w:rsid w:val="43496273"/>
    <w:rsid w:val="44A84FEF"/>
    <w:rsid w:val="48C77377"/>
    <w:rsid w:val="4C1379BD"/>
    <w:rsid w:val="4C9D6291"/>
    <w:rsid w:val="4CB160B6"/>
    <w:rsid w:val="4E17716C"/>
    <w:rsid w:val="4E9F7608"/>
    <w:rsid w:val="4EAB4D38"/>
    <w:rsid w:val="4EB37A9E"/>
    <w:rsid w:val="5091713A"/>
    <w:rsid w:val="516E1798"/>
    <w:rsid w:val="52397437"/>
    <w:rsid w:val="56576B65"/>
    <w:rsid w:val="57292B1D"/>
    <w:rsid w:val="57CE2035"/>
    <w:rsid w:val="57D672E0"/>
    <w:rsid w:val="59C07D51"/>
    <w:rsid w:val="5C5F1E19"/>
    <w:rsid w:val="5C912102"/>
    <w:rsid w:val="5CBB59B4"/>
    <w:rsid w:val="605A2EF6"/>
    <w:rsid w:val="61EC3635"/>
    <w:rsid w:val="630B0F9A"/>
    <w:rsid w:val="636658C5"/>
    <w:rsid w:val="6459249E"/>
    <w:rsid w:val="68D900E2"/>
    <w:rsid w:val="68FE1424"/>
    <w:rsid w:val="696B64B5"/>
    <w:rsid w:val="69D60894"/>
    <w:rsid w:val="6C8673CA"/>
    <w:rsid w:val="6D7035B3"/>
    <w:rsid w:val="6DA13F45"/>
    <w:rsid w:val="6DC77CFC"/>
    <w:rsid w:val="6E3D058F"/>
    <w:rsid w:val="6FBA156C"/>
    <w:rsid w:val="71173019"/>
    <w:rsid w:val="72532F67"/>
    <w:rsid w:val="734D025B"/>
    <w:rsid w:val="75327241"/>
    <w:rsid w:val="767075E3"/>
    <w:rsid w:val="76DB1F3A"/>
    <w:rsid w:val="77F90F61"/>
    <w:rsid w:val="782812FC"/>
    <w:rsid w:val="79BD048A"/>
    <w:rsid w:val="7A15719B"/>
    <w:rsid w:val="7B56316B"/>
    <w:rsid w:val="7B832C80"/>
    <w:rsid w:val="7EDB5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630"/>
    </w:pPr>
    <w:rPr>
      <w:rFonts w:ascii="Times New Roman"/>
      <w:sz w:val="32"/>
      <w:szCs w:val="32"/>
    </w:rPr>
  </w:style>
  <w:style w:type="paragraph" w:styleId="5">
    <w:name w:val="annotation text"/>
    <w:basedOn w:val="1"/>
    <w:link w:val="27"/>
    <w:semiHidden/>
    <w:unhideWhenUsed/>
    <w:qFormat/>
    <w:uiPriority w:val="99"/>
    <w:pPr>
      <w:jc w:val="left"/>
    </w:pPr>
  </w:style>
  <w:style w:type="paragraph" w:styleId="6">
    <w:name w:val="Body Text"/>
    <w:basedOn w:val="1"/>
    <w:link w:val="29"/>
    <w:semiHidden/>
    <w:unhideWhenUsed/>
    <w:qFormat/>
    <w:uiPriority w:val="99"/>
    <w:pPr>
      <w:spacing w:after="120"/>
    </w:pPr>
  </w:style>
  <w:style w:type="paragraph" w:styleId="7">
    <w:name w:val="Body Text Indent"/>
    <w:basedOn w:val="1"/>
    <w:link w:val="31"/>
    <w:semiHidden/>
    <w:unhideWhenUsed/>
    <w:qFormat/>
    <w:uiPriority w:val="99"/>
    <w:pPr>
      <w:spacing w:after="120"/>
      <w:ind w:left="420" w:leftChars="200"/>
    </w:pPr>
  </w:style>
  <w:style w:type="paragraph" w:styleId="8">
    <w:name w:val="Balloon Text"/>
    <w:basedOn w:val="1"/>
    <w:link w:val="26"/>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sz w:val="18"/>
      <w:szCs w:val="18"/>
    </w:rPr>
  </w:style>
  <w:style w:type="paragraph" w:styleId="10">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semiHidden/>
    <w:unhideWhenUsed/>
    <w:qFormat/>
    <w:uiPriority w:val="39"/>
    <w:pPr>
      <w:ind w:left="420" w:leftChars="200"/>
    </w:pPr>
  </w:style>
  <w:style w:type="paragraph" w:styleId="13">
    <w:name w:val="Normal (Web)"/>
    <w:basedOn w:val="1"/>
    <w:qFormat/>
    <w:uiPriority w:val="0"/>
    <w:pPr>
      <w:spacing w:before="100" w:beforeAutospacing="1" w:after="100" w:afterAutospacing="1"/>
      <w:jc w:val="left"/>
    </w:pPr>
    <w:rPr>
      <w:rFonts w:cs="Times New Roman"/>
      <w:kern w:val="0"/>
      <w:sz w:val="24"/>
      <w:szCs w:val="24"/>
    </w:rPr>
  </w:style>
  <w:style w:type="paragraph" w:styleId="14">
    <w:name w:val="annotation subject"/>
    <w:basedOn w:val="5"/>
    <w:next w:val="5"/>
    <w:link w:val="28"/>
    <w:semiHidden/>
    <w:unhideWhenUsed/>
    <w:qFormat/>
    <w:uiPriority w:val="99"/>
    <w:rPr>
      <w:b/>
      <w:bCs/>
    </w:rPr>
  </w:style>
  <w:style w:type="paragraph" w:styleId="15">
    <w:name w:val="Body Text First Indent"/>
    <w:basedOn w:val="6"/>
    <w:next w:val="16"/>
    <w:link w:val="30"/>
    <w:autoRedefine/>
    <w:qFormat/>
    <w:uiPriority w:val="0"/>
    <w:pPr>
      <w:adjustRightInd w:val="0"/>
      <w:ind w:firstLine="420" w:firstLineChars="100"/>
      <w:textAlignment w:val="baseline"/>
    </w:pPr>
    <w:rPr>
      <w:rFonts w:ascii="Times New Roman" w:hAnsi="Times New Roman" w:cs="Times New Roman"/>
      <w:kern w:val="0"/>
      <w:szCs w:val="20"/>
    </w:rPr>
  </w:style>
  <w:style w:type="paragraph" w:styleId="16">
    <w:name w:val="Body Text First Indent 2"/>
    <w:basedOn w:val="7"/>
    <w:next w:val="1"/>
    <w:link w:val="32"/>
    <w:autoRedefine/>
    <w:qFormat/>
    <w:uiPriority w:val="99"/>
    <w:pPr>
      <w:adjustRightInd w:val="0"/>
      <w:spacing w:line="360" w:lineRule="atLeast"/>
      <w:ind w:firstLine="420"/>
      <w:textAlignment w:val="baseline"/>
    </w:pPr>
    <w:rPr>
      <w:rFonts w:ascii="Times New Roman" w:hAnsi="Times New Roman" w:cs="Times New Roman"/>
      <w:kern w:val="0"/>
      <w:szCs w:val="20"/>
    </w:rPr>
  </w:style>
  <w:style w:type="table" w:styleId="18">
    <w:name w:val="Table Grid"/>
    <w:basedOn w:val="17"/>
    <w:qFormat/>
    <w:uiPriority w:val="5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rPr>
  </w:style>
  <w:style w:type="character" w:styleId="21">
    <w:name w:val="page number"/>
    <w:basedOn w:val="19"/>
    <w:qFormat/>
    <w:uiPriority w:val="0"/>
  </w:style>
  <w:style w:type="character" w:styleId="22">
    <w:name w:val="Hyperlink"/>
    <w:basedOn w:val="19"/>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0"/>
    <w:qFormat/>
    <w:uiPriority w:val="99"/>
    <w:rPr>
      <w:sz w:val="18"/>
      <w:szCs w:val="18"/>
    </w:rPr>
  </w:style>
  <w:style w:type="character" w:customStyle="1" w:styleId="25">
    <w:name w:val="页脚 字符"/>
    <w:basedOn w:val="19"/>
    <w:link w:val="9"/>
    <w:qFormat/>
    <w:uiPriority w:val="99"/>
    <w:rPr>
      <w:sz w:val="18"/>
      <w:szCs w:val="18"/>
    </w:rPr>
  </w:style>
  <w:style w:type="character" w:customStyle="1" w:styleId="26">
    <w:name w:val="批注框文本 字符"/>
    <w:basedOn w:val="19"/>
    <w:link w:val="8"/>
    <w:qFormat/>
    <w:uiPriority w:val="99"/>
    <w:rPr>
      <w:sz w:val="18"/>
      <w:szCs w:val="18"/>
    </w:rPr>
  </w:style>
  <w:style w:type="character" w:customStyle="1" w:styleId="27">
    <w:name w:val="批注文字 字符"/>
    <w:basedOn w:val="19"/>
    <w:link w:val="5"/>
    <w:semiHidden/>
    <w:qFormat/>
    <w:uiPriority w:val="99"/>
    <w:rPr>
      <w:kern w:val="2"/>
      <w:sz w:val="21"/>
      <w:szCs w:val="22"/>
    </w:rPr>
  </w:style>
  <w:style w:type="character" w:customStyle="1" w:styleId="28">
    <w:name w:val="批注主题 字符"/>
    <w:basedOn w:val="27"/>
    <w:link w:val="14"/>
    <w:semiHidden/>
    <w:qFormat/>
    <w:uiPriority w:val="99"/>
    <w:rPr>
      <w:b/>
      <w:bCs/>
      <w:kern w:val="2"/>
      <w:sz w:val="21"/>
      <w:szCs w:val="22"/>
    </w:rPr>
  </w:style>
  <w:style w:type="character" w:customStyle="1" w:styleId="29">
    <w:name w:val="正文文本 字符"/>
    <w:basedOn w:val="19"/>
    <w:link w:val="6"/>
    <w:semiHidden/>
    <w:qFormat/>
    <w:uiPriority w:val="99"/>
    <w:rPr>
      <w:kern w:val="2"/>
      <w:sz w:val="21"/>
      <w:szCs w:val="22"/>
    </w:rPr>
  </w:style>
  <w:style w:type="character" w:customStyle="1" w:styleId="30">
    <w:name w:val="正文文本首行缩进 字符"/>
    <w:basedOn w:val="29"/>
    <w:link w:val="15"/>
    <w:qFormat/>
    <w:uiPriority w:val="0"/>
    <w:rPr>
      <w:rFonts w:ascii="Times New Roman" w:hAnsi="Times New Roman" w:cs="Times New Roman"/>
      <w:kern w:val="2"/>
      <w:sz w:val="21"/>
      <w:szCs w:val="22"/>
    </w:rPr>
  </w:style>
  <w:style w:type="character" w:customStyle="1" w:styleId="31">
    <w:name w:val="正文文本缩进 字符"/>
    <w:basedOn w:val="19"/>
    <w:link w:val="7"/>
    <w:semiHidden/>
    <w:qFormat/>
    <w:uiPriority w:val="99"/>
    <w:rPr>
      <w:kern w:val="2"/>
      <w:sz w:val="21"/>
      <w:szCs w:val="22"/>
    </w:rPr>
  </w:style>
  <w:style w:type="character" w:customStyle="1" w:styleId="32">
    <w:name w:val="正文文本首行缩进 2 字符"/>
    <w:basedOn w:val="31"/>
    <w:link w:val="16"/>
    <w:qFormat/>
    <w:uiPriority w:val="99"/>
    <w:rPr>
      <w:rFonts w:ascii="Times New Roman" w:hAnsi="Times New Roman" w:cs="Times New Roman"/>
      <w:kern w:val="2"/>
      <w:sz w:val="21"/>
      <w:szCs w:val="22"/>
    </w:rPr>
  </w:style>
  <w:style w:type="character" w:customStyle="1" w:styleId="33">
    <w:name w:val="font31"/>
    <w:qFormat/>
    <w:uiPriority w:val="0"/>
    <w:rPr>
      <w:rFonts w:hint="eastAsia" w:ascii="宋体" w:hAnsi="宋体" w:eastAsia="宋体" w:cs="宋体"/>
      <w:color w:val="000000"/>
      <w:sz w:val="21"/>
      <w:szCs w:val="21"/>
      <w:u w:val="none"/>
    </w:rPr>
  </w:style>
  <w:style w:type="character" w:customStyle="1" w:styleId="34">
    <w:name w:val="font111"/>
    <w:qFormat/>
    <w:uiPriority w:val="0"/>
    <w:rPr>
      <w:rFonts w:hint="default" w:ascii="Eʩ" w:hAnsi="Eʩ" w:eastAsia="Eʩ" w:cs="Eʩ"/>
      <w:color w:val="000000"/>
      <w:sz w:val="21"/>
      <w:szCs w:val="21"/>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AB74D2-58A0-4B48-AF32-A23D84144A0F}">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19</Pages>
  <Words>5792</Words>
  <Characters>5958</Characters>
  <Lines>51</Lines>
  <Paragraphs>48</Paragraphs>
  <TotalTime>4</TotalTime>
  <ScaleCrop>false</ScaleCrop>
  <LinksUpToDate>false</LinksUpToDate>
  <CharactersWithSpaces>6332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2023-07-06T10:16:00Z</dcterms:created>
  <dc:creator>罗艳</dc:creator>
  <cp:lastModifiedBy>lianzc</cp:lastModifiedBy>
  <cp:lastPrinted>2025-07-31T01:31:00Z</cp:lastPrinted>
  <dcterms:modified xsi:type="dcterms:W3CDTF">2025-08-01T10:13:29Z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7D8F1EDA7A9E4073A0FCE9EF88FCDE49_13</vt:lpwstr>
  </property>
  <property fmtid="{D5CDD505-2E9C-101B-9397-08002B2CF9AE}" pid="4" name="KSOTemplateDocerSaveRecord">
    <vt:lpwstr>eyJoZGlkIjoiMmQ1MDkxNjBmNjVhNTVmODRkNTg0MTljYTc2MTBhMmMiLCJ1c2VySWQiOiIxOTE1NTM5NzQifQ==</vt:lpwstr>
  </property>
</Properties>
</file>